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1C8A" w14:textId="77777777" w:rsidR="000D13A6" w:rsidRDefault="00130529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t>表1</w:t>
      </w:r>
      <w:r>
        <w:rPr>
          <w:b/>
          <w:color w:val="000000"/>
          <w:sz w:val="24"/>
          <w:szCs w:val="24"/>
          <w:lang w:val="en-US"/>
        </w:rPr>
        <w:t>-5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单选题</w:t>
      </w:r>
    </w:p>
    <w:tbl>
      <w:tblPr>
        <w:tblW w:w="12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2624"/>
        <w:gridCol w:w="1903"/>
        <w:gridCol w:w="1150"/>
        <w:gridCol w:w="1101"/>
        <w:gridCol w:w="2324"/>
      </w:tblGrid>
      <w:tr w:rsidR="000D13A6" w:rsidRPr="00333BFE" w14:paraId="170AC00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4C259ACC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2624" w:type="dxa"/>
            <w:vAlign w:val="center"/>
          </w:tcPr>
          <w:p w14:paraId="59B0549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053" w:type="dxa"/>
            <w:gridSpan w:val="2"/>
            <w:vAlign w:val="center"/>
          </w:tcPr>
          <w:p w14:paraId="5CA9B51D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425" w:type="dxa"/>
            <w:gridSpan w:val="2"/>
            <w:vAlign w:val="center"/>
          </w:tcPr>
          <w:p w14:paraId="7596035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0D13A6" w14:paraId="5CFA84E4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2749E0A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2624" w:type="dxa"/>
            <w:vAlign w:val="center"/>
          </w:tcPr>
          <w:p w14:paraId="1EDF978A" w14:textId="3339405C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2C53B90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425" w:type="dxa"/>
            <w:gridSpan w:val="2"/>
            <w:vAlign w:val="center"/>
          </w:tcPr>
          <w:p w14:paraId="638AC027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0D13A6" w14:paraId="66E43F30" w14:textId="77777777">
        <w:trPr>
          <w:trHeight w:val="567"/>
          <w:jc w:val="center"/>
        </w:trPr>
        <w:tc>
          <w:tcPr>
            <w:tcW w:w="12925" w:type="dxa"/>
            <w:gridSpan w:val="6"/>
            <w:vAlign w:val="center"/>
          </w:tcPr>
          <w:p w14:paraId="11C8FED0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0D13A6" w14:paraId="13D91B90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5D58F52B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478" w:type="dxa"/>
            <w:gridSpan w:val="4"/>
            <w:vAlign w:val="center"/>
          </w:tcPr>
          <w:p w14:paraId="38C25F91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0D13A6" w14:paraId="17AEBC21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0B032DA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□学生组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教师组 □师生联队试点赛项</w:t>
            </w:r>
          </w:p>
        </w:tc>
        <w:tc>
          <w:tcPr>
            <w:tcW w:w="6478" w:type="dxa"/>
            <w:gridSpan w:val="4"/>
            <w:vAlign w:val="center"/>
          </w:tcPr>
          <w:p w14:paraId="13FACD9D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0D13A6" w14:paraId="5D161C7A" w14:textId="77777777">
        <w:trPr>
          <w:trHeight w:val="567"/>
          <w:jc w:val="center"/>
        </w:trPr>
        <w:tc>
          <w:tcPr>
            <w:tcW w:w="6447" w:type="dxa"/>
            <w:gridSpan w:val="2"/>
            <w:vAlign w:val="center"/>
          </w:tcPr>
          <w:p w14:paraId="25740B64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478" w:type="dxa"/>
            <w:gridSpan w:val="4"/>
            <w:vAlign w:val="center"/>
          </w:tcPr>
          <w:p w14:paraId="6FE5C727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0D13A6" w14:paraId="784743E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344F5128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4527" w:type="dxa"/>
            <w:gridSpan w:val="2"/>
            <w:vAlign w:val="center"/>
          </w:tcPr>
          <w:p w14:paraId="61E94764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题目选项</w:t>
            </w:r>
          </w:p>
        </w:tc>
        <w:tc>
          <w:tcPr>
            <w:tcW w:w="2251" w:type="dxa"/>
            <w:gridSpan w:val="2"/>
            <w:vAlign w:val="center"/>
          </w:tcPr>
          <w:p w14:paraId="4D64BBB1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324" w:type="dxa"/>
            <w:vAlign w:val="center"/>
          </w:tcPr>
          <w:p w14:paraId="2C815283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0D13A6" w14:paraId="3CE41B3C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105E13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）负责食品安全风险评估工作。</w:t>
            </w:r>
          </w:p>
        </w:tc>
        <w:tc>
          <w:tcPr>
            <w:tcW w:w="4527" w:type="dxa"/>
            <w:gridSpan w:val="2"/>
            <w:vAlign w:val="center"/>
          </w:tcPr>
          <w:p w14:paraId="399E009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rFonts w:hint="eastAsia"/>
              </w:rPr>
              <w:t>海关总署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</w:p>
          <w:p w14:paraId="7D89026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、国家市场监管总局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</w:p>
          <w:p w14:paraId="0C2F3FE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、国家卫健委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14:paraId="0BB36A32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、农业农村部</w:t>
            </w:r>
          </w:p>
        </w:tc>
        <w:tc>
          <w:tcPr>
            <w:tcW w:w="2251" w:type="dxa"/>
            <w:gridSpan w:val="2"/>
            <w:vAlign w:val="center"/>
          </w:tcPr>
          <w:p w14:paraId="7CFDBB81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D0F3EAC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04030C8D" w14:textId="77777777">
        <w:trPr>
          <w:trHeight w:val="567"/>
          <w:jc w:val="center"/>
        </w:trPr>
        <w:tc>
          <w:tcPr>
            <w:tcW w:w="3823" w:type="dxa"/>
          </w:tcPr>
          <w:p w14:paraId="15F5A2F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下列哪些食品可以依法进行生产（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0B79B33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A、无标签的预包装食品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  <w:p w14:paraId="56DD753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B、以按照传统既是食品又是中药材的物质为原料生产的食品</w:t>
            </w:r>
          </w:p>
          <w:p w14:paraId="08E67AD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C、以病死的肉类为原料生产的食品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</w:p>
          <w:p w14:paraId="0D03B5B2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D、以回收食品为原料生产的食品</w:t>
            </w:r>
          </w:p>
        </w:tc>
        <w:tc>
          <w:tcPr>
            <w:tcW w:w="2251" w:type="dxa"/>
            <w:gridSpan w:val="2"/>
            <w:vAlign w:val="center"/>
          </w:tcPr>
          <w:p w14:paraId="625E1F7D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4FEAF69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38E4569F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4051CD9" w14:textId="77777777" w:rsidR="000D13A6" w:rsidRDefault="00130529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hint="eastAsia"/>
                <w:kern w:val="2"/>
                <w:sz w:val="24"/>
                <w:szCs w:val="24"/>
                <w:lang w:val="en-US" w:bidi="ar-SA"/>
              </w:rPr>
              <w:t>食品经营者申办《食品经营许可证》时，正确的做法是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533056F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A、一所学校内有多个食堂（厨房独立设置）的，只需申办一个许可证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  <w:p w14:paraId="00855365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B、一家宾馆内有多个餐厅（厨房独立设</w:t>
            </w: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>置）的，只需申办一个许可证</w:t>
            </w:r>
          </w:p>
          <w:p w14:paraId="15DD015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C、同一法定代表人的餐饮连锁企业，只需申办一个许可证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14:paraId="5A8A250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D、食品经营许可实行一地一证原则，每个经营场所均需要申办许可证</w:t>
            </w:r>
          </w:p>
        </w:tc>
        <w:tc>
          <w:tcPr>
            <w:tcW w:w="2251" w:type="dxa"/>
            <w:gridSpan w:val="2"/>
            <w:vAlign w:val="center"/>
          </w:tcPr>
          <w:p w14:paraId="00BC4805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2238CFB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00B407EF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ADBE41C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ISO 22000最新版是</w:t>
            </w:r>
            <w:r>
              <w:rPr>
                <w:rFonts w:hint="eastAsia"/>
                <w:color w:val="000000"/>
                <w:sz w:val="24"/>
                <w:szCs w:val="24"/>
              </w:rPr>
              <w:t>（</w:t>
            </w:r>
            <w:r>
              <w:rPr>
                <w:color w:val="000000"/>
                <w:sz w:val="24"/>
                <w:szCs w:val="24"/>
              </w:rPr>
              <w:t xml:space="preserve">   ）。</w:t>
            </w:r>
          </w:p>
        </w:tc>
        <w:tc>
          <w:tcPr>
            <w:tcW w:w="4527" w:type="dxa"/>
            <w:gridSpan w:val="2"/>
            <w:vAlign w:val="center"/>
          </w:tcPr>
          <w:p w14:paraId="50CAD18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A、2</w:t>
            </w:r>
            <w:r>
              <w:rPr>
                <w:color w:val="000000"/>
                <w:sz w:val="24"/>
                <w:szCs w:val="24"/>
              </w:rPr>
              <w:t>008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  <w:szCs w:val="24"/>
              </w:rPr>
              <w:t>B、2</w:t>
            </w:r>
            <w:r>
              <w:rPr>
                <w:color w:val="000000"/>
                <w:sz w:val="24"/>
                <w:szCs w:val="24"/>
              </w:rPr>
              <w:t>015</w:t>
            </w:r>
          </w:p>
          <w:p w14:paraId="0FD5DDB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C、2</w:t>
            </w:r>
            <w:r>
              <w:rPr>
                <w:color w:val="000000"/>
                <w:sz w:val="24"/>
                <w:szCs w:val="24"/>
              </w:rPr>
              <w:t>018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/>
                <w:color w:val="000000"/>
                <w:sz w:val="24"/>
                <w:szCs w:val="24"/>
              </w:rPr>
              <w:t>D、2</w:t>
            </w: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2251" w:type="dxa"/>
            <w:gridSpan w:val="2"/>
            <w:vAlign w:val="center"/>
          </w:tcPr>
          <w:p w14:paraId="1AA7D155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3167C87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6A0D21D9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5A11AD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下列（</w:t>
            </w:r>
            <w:r>
              <w:rPr>
                <w:color w:val="000000"/>
                <w:sz w:val="24"/>
                <w:szCs w:val="24"/>
              </w:rPr>
              <w:t xml:space="preserve">   ）</w:t>
            </w:r>
            <w:r>
              <w:rPr>
                <w:rFonts w:hint="eastAsia"/>
                <w:color w:val="000000"/>
                <w:sz w:val="24"/>
                <w:szCs w:val="24"/>
              </w:rPr>
              <w:t>变化需要重新申请食品生产许可？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14:paraId="608F7AB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、食品类别变更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  <w:p w14:paraId="7B6427F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、设备布局和工艺流程变更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  <w:p w14:paraId="4C5F2B8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、食品生产者名称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14:paraId="7A1544AF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、食品生产者的生产场所迁址</w:t>
            </w:r>
          </w:p>
        </w:tc>
        <w:tc>
          <w:tcPr>
            <w:tcW w:w="2251" w:type="dxa"/>
            <w:gridSpan w:val="2"/>
            <w:vAlign w:val="center"/>
          </w:tcPr>
          <w:p w14:paraId="1CF8F6B2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161CCDBA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5BB5625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4D8746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食品生产企业厂区内的道路不应使用以下（</w:t>
            </w:r>
            <w:r>
              <w:rPr>
                <w:color w:val="000000"/>
                <w:sz w:val="24"/>
                <w:szCs w:val="24"/>
              </w:rPr>
              <w:t xml:space="preserve">   ）</w:t>
            </w:r>
            <w:r>
              <w:rPr>
                <w:rFonts w:hint="eastAsia"/>
                <w:color w:val="000000"/>
                <w:sz w:val="24"/>
                <w:szCs w:val="24"/>
              </w:rPr>
              <w:t>材料？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14:paraId="4EF63C7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A、混凝土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/>
                <w:color w:val="000000"/>
                <w:sz w:val="24"/>
                <w:szCs w:val="24"/>
              </w:rPr>
              <w:t>B、沥青</w:t>
            </w:r>
          </w:p>
          <w:p w14:paraId="577B02D7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C、地砖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  <w:szCs w:val="24"/>
              </w:rPr>
              <w:t>D、沙石</w:t>
            </w:r>
          </w:p>
        </w:tc>
        <w:tc>
          <w:tcPr>
            <w:tcW w:w="2251" w:type="dxa"/>
            <w:gridSpan w:val="2"/>
            <w:vAlign w:val="center"/>
          </w:tcPr>
          <w:p w14:paraId="2528C8E0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8AEF9E4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754ED3CC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88B6F0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可以免除标示保质期的预包装食品不包括（</w:t>
            </w:r>
            <w:r>
              <w:rPr>
                <w:color w:val="000000"/>
                <w:sz w:val="24"/>
                <w:szCs w:val="24"/>
              </w:rPr>
              <w:t xml:space="preserve">   ）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782EAF2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A、白砂糖      B、食用盐 </w:t>
            </w:r>
          </w:p>
          <w:p w14:paraId="3201C4E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C、味精        D、啤酒（酒精度4</w:t>
            </w:r>
            <w:r>
              <w:rPr>
                <w:color w:val="000000"/>
                <w:sz w:val="24"/>
                <w:szCs w:val="24"/>
              </w:rPr>
              <w:t>%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251" w:type="dxa"/>
            <w:gridSpan w:val="2"/>
            <w:vAlign w:val="center"/>
          </w:tcPr>
          <w:p w14:paraId="08EACCA0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2B8C44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2A34CA2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C202A8C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食品生产企业应当建立食品原料、食品添加剂、食品相关产品进货查验记录制度，并保存相关凭证。记录和凭证保存期限不得少于产品保质期满后</w:t>
            </w:r>
            <w:r>
              <w:rPr>
                <w:color w:val="000000"/>
                <w:sz w:val="24"/>
                <w:szCs w:val="24"/>
              </w:rPr>
              <w:t>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）；没有明确保质期的，保存期限不得少于（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）。</w:t>
            </w:r>
          </w:p>
        </w:tc>
        <w:tc>
          <w:tcPr>
            <w:tcW w:w="4527" w:type="dxa"/>
            <w:gridSpan w:val="2"/>
            <w:vAlign w:val="center"/>
          </w:tcPr>
          <w:p w14:paraId="290D3D5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、三个月，一年</w:t>
            </w:r>
          </w:p>
          <w:p w14:paraId="7BF7E00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、三个月，二年</w:t>
            </w:r>
          </w:p>
          <w:p w14:paraId="6F5AD5D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、六个月，一年  </w:t>
            </w:r>
          </w:p>
          <w:p w14:paraId="0ACB97C5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、六个月，二年</w:t>
            </w:r>
          </w:p>
        </w:tc>
        <w:tc>
          <w:tcPr>
            <w:tcW w:w="2251" w:type="dxa"/>
            <w:gridSpan w:val="2"/>
            <w:vAlign w:val="center"/>
          </w:tcPr>
          <w:p w14:paraId="3F8A0641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D1ED377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738626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DBF9282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某食品生产企业于</w:t>
            </w:r>
            <w:r>
              <w:rPr>
                <w:color w:val="000000"/>
                <w:sz w:val="24"/>
                <w:szCs w:val="24"/>
              </w:rPr>
              <w:t>2018年4月1日生产了一批保质期</w:t>
            </w:r>
            <w:r>
              <w:rPr>
                <w:rFonts w:hint="eastAsia"/>
                <w:color w:val="000000"/>
                <w:sz w:val="24"/>
                <w:szCs w:val="24"/>
              </w:rPr>
              <w:t>为</w:t>
            </w:r>
            <w:r>
              <w:rPr>
                <w:color w:val="000000"/>
                <w:sz w:val="24"/>
                <w:szCs w:val="24"/>
              </w:rPr>
              <w:t>12个月的产品，该批产品的出厂检验记录至少应保存到（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）。</w:t>
            </w:r>
          </w:p>
        </w:tc>
        <w:tc>
          <w:tcPr>
            <w:tcW w:w="4527" w:type="dxa"/>
            <w:gridSpan w:val="2"/>
            <w:vAlign w:val="center"/>
          </w:tcPr>
          <w:p w14:paraId="59644CC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2018年10月1日</w:t>
            </w:r>
          </w:p>
          <w:p w14:paraId="77E2806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2019年4月1日 </w:t>
            </w:r>
          </w:p>
          <w:p w14:paraId="4764D0E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2019年6月1日 </w:t>
            </w:r>
          </w:p>
          <w:p w14:paraId="01AEED8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2019年10月1日</w:t>
            </w:r>
          </w:p>
        </w:tc>
        <w:tc>
          <w:tcPr>
            <w:tcW w:w="2251" w:type="dxa"/>
            <w:gridSpan w:val="2"/>
            <w:vAlign w:val="center"/>
          </w:tcPr>
          <w:p w14:paraId="2EDB5C6A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0751877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59672F6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924B73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>色谱分析中，要求两组分达到较好分离，分离度一般（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40961EC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A、</w:t>
            </w:r>
            <w:r>
              <w:rPr>
                <w:rFonts w:hint="eastAsia"/>
                <w:color w:val="000000"/>
                <w:sz w:val="24"/>
                <w:szCs w:val="24"/>
              </w:rPr>
              <w:t>R≥0</w:t>
            </w:r>
            <w:r>
              <w:rPr>
                <w:color w:val="000000"/>
                <w:sz w:val="24"/>
                <w:szCs w:val="24"/>
              </w:rPr>
              <w:t>.1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>B、</w:t>
            </w:r>
            <w:r>
              <w:rPr>
                <w:rFonts w:hint="eastAsia"/>
                <w:color w:val="000000"/>
                <w:sz w:val="24"/>
                <w:szCs w:val="24"/>
              </w:rPr>
              <w:t>R≥0</w:t>
            </w:r>
            <w:r>
              <w:rPr>
                <w:color w:val="000000"/>
                <w:sz w:val="24"/>
                <w:szCs w:val="24"/>
              </w:rPr>
              <w:t>.7</w:t>
            </w:r>
          </w:p>
          <w:p w14:paraId="5A27E26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C、</w:t>
            </w:r>
            <w:r>
              <w:rPr>
                <w:rFonts w:hint="eastAsia"/>
                <w:color w:val="000000"/>
                <w:sz w:val="24"/>
                <w:szCs w:val="24"/>
              </w:rPr>
              <w:t>R≥</w:t>
            </w:r>
            <w:r>
              <w:rPr>
                <w:color w:val="000000"/>
                <w:sz w:val="24"/>
                <w:szCs w:val="24"/>
              </w:rPr>
              <w:t>1.0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 xml:space="preserve">  D、</w:t>
            </w:r>
            <w:r>
              <w:rPr>
                <w:rFonts w:hint="eastAsia"/>
                <w:color w:val="000000"/>
                <w:sz w:val="24"/>
                <w:szCs w:val="24"/>
              </w:rPr>
              <w:t>R≥</w:t>
            </w: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51" w:type="dxa"/>
            <w:gridSpan w:val="2"/>
            <w:vAlign w:val="center"/>
          </w:tcPr>
          <w:p w14:paraId="47248984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FBC647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050D1ED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6934EA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火焰原子吸收分光光度法最常用的燃气和助燃气为（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3C3D1F4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、乙炔</w:t>
            </w:r>
            <w:r>
              <w:rPr>
                <w:color w:val="000000"/>
                <w:sz w:val="24"/>
                <w:szCs w:val="24"/>
              </w:rPr>
              <w:t>-空</w:t>
            </w:r>
            <w:r>
              <w:rPr>
                <w:rFonts w:hint="eastAsia"/>
                <w:color w:val="000000"/>
                <w:sz w:val="24"/>
                <w:szCs w:val="24"/>
              </w:rPr>
              <w:t>气</w:t>
            </w:r>
          </w:p>
          <w:p w14:paraId="0FE5D2F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、氢气</w:t>
            </w:r>
            <w:r>
              <w:rPr>
                <w:color w:val="000000"/>
                <w:sz w:val="24"/>
                <w:szCs w:val="24"/>
              </w:rPr>
              <w:t>-空</w:t>
            </w:r>
            <w:r>
              <w:rPr>
                <w:rFonts w:hint="eastAsia"/>
                <w:color w:val="000000"/>
                <w:sz w:val="24"/>
                <w:szCs w:val="24"/>
              </w:rPr>
              <w:t>气</w:t>
            </w:r>
          </w:p>
          <w:p w14:paraId="7EDC18D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、氮气</w:t>
            </w:r>
            <w:r>
              <w:rPr>
                <w:color w:val="000000"/>
                <w:sz w:val="24"/>
                <w:szCs w:val="24"/>
              </w:rPr>
              <w:t>-空</w:t>
            </w:r>
            <w:r>
              <w:rPr>
                <w:rFonts w:hint="eastAsia"/>
                <w:color w:val="000000"/>
                <w:sz w:val="24"/>
                <w:szCs w:val="24"/>
              </w:rPr>
              <w:t>气</w:t>
            </w:r>
          </w:p>
          <w:p w14:paraId="5CB1BD4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、氦气</w:t>
            </w:r>
            <w:r>
              <w:rPr>
                <w:color w:val="000000"/>
                <w:sz w:val="24"/>
                <w:szCs w:val="24"/>
              </w:rPr>
              <w:t>-空</w:t>
            </w:r>
            <w:r>
              <w:rPr>
                <w:rFonts w:hint="eastAsia"/>
                <w:color w:val="000000"/>
                <w:sz w:val="24"/>
                <w:szCs w:val="24"/>
              </w:rPr>
              <w:t>气</w:t>
            </w:r>
          </w:p>
        </w:tc>
        <w:tc>
          <w:tcPr>
            <w:tcW w:w="2251" w:type="dxa"/>
            <w:gridSpan w:val="2"/>
            <w:vAlign w:val="center"/>
          </w:tcPr>
          <w:p w14:paraId="29B75098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789B9E19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0A46B38A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364FE6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气相色谱检测器，对含磷、含硫化合物有高选择型、高灵敏度的检测器（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34800577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、氢焰离子化检测器（</w:t>
            </w:r>
            <w:r>
              <w:rPr>
                <w:color w:val="000000"/>
                <w:sz w:val="24"/>
                <w:szCs w:val="24"/>
              </w:rPr>
              <w:t>FID）</w:t>
            </w:r>
          </w:p>
          <w:p w14:paraId="2E5E767B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、热导检测器（</w:t>
            </w:r>
            <w:r>
              <w:rPr>
                <w:color w:val="000000"/>
                <w:sz w:val="24"/>
                <w:szCs w:val="24"/>
              </w:rPr>
              <w:t>TCD）</w:t>
            </w:r>
          </w:p>
          <w:p w14:paraId="78F414C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、电子捕获检测器（</w:t>
            </w:r>
            <w:r>
              <w:rPr>
                <w:color w:val="000000"/>
                <w:sz w:val="24"/>
                <w:szCs w:val="24"/>
              </w:rPr>
              <w:t>ECD）</w:t>
            </w:r>
          </w:p>
          <w:p w14:paraId="46CD7300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、火焰光度检测器（</w:t>
            </w:r>
            <w:r>
              <w:rPr>
                <w:color w:val="000000"/>
                <w:sz w:val="24"/>
                <w:szCs w:val="24"/>
              </w:rPr>
              <w:t>FPD）</w:t>
            </w:r>
          </w:p>
        </w:tc>
        <w:tc>
          <w:tcPr>
            <w:tcW w:w="2251" w:type="dxa"/>
            <w:gridSpan w:val="2"/>
            <w:vAlign w:val="center"/>
          </w:tcPr>
          <w:p w14:paraId="52C1B212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6BD94C0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79220C0B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55626682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在普通光学显微镜下不适合用血球计数板计数的微生物为（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3B037DF7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、酵母活菌</w:t>
            </w:r>
            <w:r>
              <w:rPr>
                <w:color w:val="000000"/>
                <w:sz w:val="24"/>
                <w:szCs w:val="24"/>
              </w:rPr>
              <w:t xml:space="preserve">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、酵母总菌</w:t>
            </w:r>
          </w:p>
          <w:p w14:paraId="1004466C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、霉菌孢子</w:t>
            </w:r>
            <w:r>
              <w:rPr>
                <w:color w:val="000000"/>
                <w:sz w:val="24"/>
                <w:szCs w:val="24"/>
              </w:rPr>
              <w:t xml:space="preserve">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、大肠杆菌</w:t>
            </w:r>
          </w:p>
        </w:tc>
        <w:tc>
          <w:tcPr>
            <w:tcW w:w="2251" w:type="dxa"/>
            <w:gridSpan w:val="2"/>
            <w:vAlign w:val="center"/>
          </w:tcPr>
          <w:p w14:paraId="0F0E60F9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5AAEBBA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40CAB888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A34FB2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细菌革兰氏染色的细胞着色部位是（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4D93FC6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、肽聚糖层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 xml:space="preserve">  B</w:t>
            </w:r>
            <w:r>
              <w:rPr>
                <w:rFonts w:hint="eastAsia"/>
                <w:color w:val="000000"/>
                <w:sz w:val="24"/>
                <w:szCs w:val="24"/>
              </w:rPr>
              <w:t>、细胞壁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 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   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147EC1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、细胞膜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        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、细胞质</w:t>
            </w:r>
          </w:p>
        </w:tc>
        <w:tc>
          <w:tcPr>
            <w:tcW w:w="2251" w:type="dxa"/>
            <w:gridSpan w:val="2"/>
            <w:vAlign w:val="center"/>
          </w:tcPr>
          <w:p w14:paraId="7F38156C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59ADADB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15A23B37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3C16235B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在大肠菌群</w:t>
            </w:r>
            <w:r>
              <w:rPr>
                <w:color w:val="000000"/>
                <w:sz w:val="24"/>
                <w:szCs w:val="24"/>
              </w:rPr>
              <w:t>MPN计数时，根据对样品污染状况的估计，选择0.1,0.01</w:t>
            </w:r>
            <w:r>
              <w:rPr>
                <w:rFonts w:hint="eastAsia"/>
                <w:color w:val="000000"/>
                <w:sz w:val="24"/>
                <w:szCs w:val="24"/>
              </w:rPr>
              <w:t>，</w:t>
            </w:r>
            <w:r>
              <w:rPr>
                <w:color w:val="000000"/>
                <w:sz w:val="24"/>
                <w:szCs w:val="24"/>
              </w:rPr>
              <w:t>0.001三个稀释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结果均未产气，则结果报告为（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38572DC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9.4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、6</w:t>
            </w:r>
            <w:r>
              <w:rPr>
                <w:color w:val="000000"/>
                <w:sz w:val="24"/>
                <w:szCs w:val="24"/>
              </w:rPr>
              <w:t xml:space="preserve">.1 </w:t>
            </w:r>
          </w:p>
          <w:p w14:paraId="03831AD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、﹤3.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51" w:type="dxa"/>
            <w:gridSpan w:val="2"/>
            <w:vAlign w:val="center"/>
          </w:tcPr>
          <w:p w14:paraId="57A92F6D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108D3E78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6AC863AB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0BC67A9C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酒精消毒最适宜的浓度（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585A6D0A" w14:textId="77777777" w:rsidR="000D13A6" w:rsidRDefault="00130529">
            <w:pPr>
              <w:pStyle w:val="a9"/>
              <w:widowControl w:val="0"/>
              <w:autoSpaceDE w:val="0"/>
              <w:autoSpaceDN w:val="0"/>
              <w:spacing w:before="0" w:after="0"/>
              <w:jc w:val="left"/>
              <w:rPr>
                <w:rFonts w:ascii="仿宋" w:eastAsia="仿宋" w:hAnsi="仿宋" w:cs="仿宋"/>
                <w:kern w:val="0"/>
                <w:lang w:val="zh-CN" w:bidi="zh-CN"/>
              </w:rPr>
            </w:pPr>
            <w:r>
              <w:rPr>
                <w:rFonts w:ascii="仿宋" w:eastAsia="仿宋" w:hAnsi="仿宋" w:cs="仿宋"/>
                <w:kern w:val="0"/>
                <w:lang w:val="zh-CN" w:bidi="zh-CN"/>
              </w:rPr>
              <w:t>A</w:t>
            </w:r>
            <w:r>
              <w:rPr>
                <w:rFonts w:ascii="仿宋" w:eastAsia="仿宋" w:hAnsi="仿宋" w:cs="仿宋" w:hint="eastAsia"/>
                <w:kern w:val="0"/>
                <w:lang w:val="zh-CN" w:bidi="zh-CN"/>
              </w:rPr>
              <w:t>、2</w:t>
            </w:r>
            <w:r>
              <w:rPr>
                <w:rFonts w:ascii="仿宋" w:eastAsia="仿宋" w:hAnsi="仿宋" w:cs="仿宋"/>
                <w:kern w:val="0"/>
                <w:lang w:val="zh-CN" w:bidi="zh-CN"/>
              </w:rPr>
              <w:t>0%               B</w:t>
            </w:r>
            <w:r>
              <w:rPr>
                <w:rFonts w:ascii="仿宋" w:eastAsia="仿宋" w:hAnsi="仿宋" w:cs="仿宋" w:hint="eastAsia"/>
                <w:kern w:val="0"/>
                <w:lang w:val="zh-CN" w:bidi="zh-CN"/>
              </w:rPr>
              <w:t>、5</w:t>
            </w:r>
            <w:r>
              <w:rPr>
                <w:rFonts w:ascii="仿宋" w:eastAsia="仿宋" w:hAnsi="仿宋" w:cs="仿宋"/>
                <w:kern w:val="0"/>
                <w:lang w:val="zh-CN" w:bidi="zh-CN"/>
              </w:rPr>
              <w:t>0%</w:t>
            </w:r>
          </w:p>
          <w:p w14:paraId="20160595" w14:textId="77777777" w:rsidR="000D13A6" w:rsidRDefault="00130529">
            <w:pPr>
              <w:pStyle w:val="a9"/>
              <w:widowControl w:val="0"/>
              <w:autoSpaceDE w:val="0"/>
              <w:autoSpaceDN w:val="0"/>
              <w:spacing w:before="0" w:after="0"/>
              <w:jc w:val="left"/>
              <w:rPr>
                <w:rFonts w:ascii="仿宋" w:eastAsia="仿宋" w:hAnsi="仿宋" w:cs="仿宋"/>
                <w:kern w:val="0"/>
                <w:lang w:val="zh-CN" w:bidi="zh-CN"/>
              </w:rPr>
            </w:pPr>
            <w:r>
              <w:rPr>
                <w:rFonts w:ascii="仿宋" w:eastAsia="仿宋" w:hAnsi="仿宋" w:cs="仿宋"/>
                <w:kern w:val="0"/>
                <w:lang w:val="zh-CN" w:bidi="zh-CN"/>
              </w:rPr>
              <w:t>C</w:t>
            </w:r>
            <w:r>
              <w:rPr>
                <w:rFonts w:ascii="仿宋" w:eastAsia="仿宋" w:hAnsi="仿宋" w:cs="仿宋" w:hint="eastAsia"/>
                <w:kern w:val="0"/>
                <w:lang w:val="zh-CN" w:bidi="zh-CN"/>
              </w:rPr>
              <w:t>、7</w:t>
            </w:r>
            <w:r>
              <w:rPr>
                <w:rFonts w:ascii="仿宋" w:eastAsia="仿宋" w:hAnsi="仿宋" w:cs="仿宋"/>
                <w:kern w:val="0"/>
                <w:lang w:val="zh-CN" w:bidi="zh-CN"/>
              </w:rPr>
              <w:t>5%               D</w:t>
            </w:r>
            <w:r>
              <w:rPr>
                <w:rFonts w:ascii="仿宋" w:eastAsia="仿宋" w:hAnsi="仿宋" w:cs="仿宋" w:hint="eastAsia"/>
                <w:kern w:val="0"/>
                <w:lang w:val="zh-CN" w:bidi="zh-CN"/>
              </w:rPr>
              <w:t>、1</w:t>
            </w:r>
            <w:r>
              <w:rPr>
                <w:rFonts w:ascii="仿宋" w:eastAsia="仿宋" w:hAnsi="仿宋" w:cs="仿宋"/>
                <w:kern w:val="0"/>
                <w:lang w:val="zh-CN" w:bidi="zh-CN"/>
              </w:rPr>
              <w:t>00%</w:t>
            </w:r>
          </w:p>
        </w:tc>
        <w:tc>
          <w:tcPr>
            <w:tcW w:w="2251" w:type="dxa"/>
            <w:gridSpan w:val="2"/>
            <w:vAlign w:val="center"/>
          </w:tcPr>
          <w:p w14:paraId="07E0DCA8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87DBCFF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5CF2EDBA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4A4799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合格的食品中不应检出的微生物是（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54D8F051" w14:textId="77777777" w:rsidR="000D13A6" w:rsidRDefault="0013052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Calibri" w:hAnsi="Calibri" w:cs="Calibri" w:hint="eastAsia"/>
                <w:color w:val="000000"/>
                <w:sz w:val="24"/>
                <w:szCs w:val="24"/>
              </w:rPr>
              <w:t>大肠菌群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</w:t>
            </w: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、细菌</w:t>
            </w:r>
          </w:p>
          <w:p w14:paraId="21882D3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、霉菌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、致病菌</w:t>
            </w:r>
          </w:p>
        </w:tc>
        <w:tc>
          <w:tcPr>
            <w:tcW w:w="2251" w:type="dxa"/>
            <w:gridSpan w:val="2"/>
            <w:vAlign w:val="center"/>
          </w:tcPr>
          <w:p w14:paraId="003A7B82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EA0E15F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1D8B80A5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E96D63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按照国家标准规定，霉菌和酵母数检验时可以使用的培养基为（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）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2BA5713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、高盐察氏</w:t>
            </w:r>
            <w:r>
              <w:rPr>
                <w:color w:val="000000"/>
                <w:sz w:val="24"/>
                <w:szCs w:val="24"/>
              </w:rPr>
              <w:t xml:space="preserve">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、察氏</w:t>
            </w:r>
          </w:p>
          <w:p w14:paraId="04F55ED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、营养</w:t>
            </w:r>
            <w:r>
              <w:rPr>
                <w:color w:val="000000"/>
                <w:sz w:val="24"/>
                <w:szCs w:val="24"/>
              </w:rPr>
              <w:t xml:space="preserve">  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、孟加拉红</w:t>
            </w:r>
          </w:p>
        </w:tc>
        <w:tc>
          <w:tcPr>
            <w:tcW w:w="2251" w:type="dxa"/>
            <w:gridSpan w:val="2"/>
            <w:vAlign w:val="center"/>
          </w:tcPr>
          <w:p w14:paraId="544339DD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20FA722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739EA980" w14:textId="77777777">
        <w:trPr>
          <w:trHeight w:val="274"/>
          <w:jc w:val="center"/>
        </w:trPr>
        <w:tc>
          <w:tcPr>
            <w:tcW w:w="3823" w:type="dxa"/>
            <w:vAlign w:val="center"/>
          </w:tcPr>
          <w:p w14:paraId="0BD303C0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EMB培养基对大肠菌群有显著的鉴别力，主要是依据了</w:t>
            </w:r>
            <w:r>
              <w:rPr>
                <w:rFonts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）</w:t>
            </w:r>
            <w:r>
              <w:rPr>
                <w:rFonts w:hint="eastAsia"/>
                <w:color w:val="000000"/>
                <w:sz w:val="24"/>
                <w:szCs w:val="24"/>
              </w:rPr>
              <w:t>原理。</w:t>
            </w:r>
          </w:p>
        </w:tc>
        <w:tc>
          <w:tcPr>
            <w:tcW w:w="4527" w:type="dxa"/>
            <w:gridSpan w:val="2"/>
            <w:vAlign w:val="center"/>
          </w:tcPr>
          <w:p w14:paraId="39438D0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、发酵蔗糖产酸 </w:t>
            </w:r>
            <w:r>
              <w:rPr>
                <w:color w:val="000000"/>
                <w:sz w:val="24"/>
                <w:szCs w:val="24"/>
              </w:rPr>
              <w:t xml:space="preserve">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Arial" w:hAnsi="Arial" w:cs="Arial" w:hint="eastAsia"/>
                <w:sz w:val="24"/>
                <w:szCs w:val="24"/>
                <w:shd w:val="clear" w:color="auto" w:fill="FFFFFF"/>
              </w:rPr>
              <w:t>发酵乳糖产酸</w:t>
            </w:r>
          </w:p>
          <w:p w14:paraId="6F85384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伊红美蓝分别显</w:t>
            </w:r>
            <w:r>
              <w:rPr>
                <w:rFonts w:ascii="Arial" w:hAnsi="Arial" w:cs="Arial" w:hint="eastAsia"/>
                <w:sz w:val="24"/>
                <w:szCs w:val="24"/>
                <w:shd w:val="clear" w:color="auto" w:fill="FFFFFF"/>
              </w:rPr>
              <w:t>色</w:t>
            </w:r>
          </w:p>
          <w:p w14:paraId="64CDD31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、伊红美蓝结合后显色</w:t>
            </w:r>
          </w:p>
        </w:tc>
        <w:tc>
          <w:tcPr>
            <w:tcW w:w="2251" w:type="dxa"/>
            <w:gridSpan w:val="2"/>
            <w:vAlign w:val="center"/>
          </w:tcPr>
          <w:p w14:paraId="4728E42A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06C5F6ED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18E47D0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8D997A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对食品进行细菌菌落总数测定时，如果所有稀释度的平皿菌落均大于</w:t>
            </w:r>
            <w:r>
              <w:rPr>
                <w:color w:val="000000"/>
                <w:sz w:val="24"/>
                <w:szCs w:val="24"/>
              </w:rPr>
              <w:t>300，则按（    ）的平均菌落数乘以稀释倍数报告之。</w:t>
            </w:r>
          </w:p>
        </w:tc>
        <w:tc>
          <w:tcPr>
            <w:tcW w:w="4527" w:type="dxa"/>
            <w:gridSpan w:val="2"/>
            <w:vAlign w:val="center"/>
          </w:tcPr>
          <w:p w14:paraId="3E9C8B35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稀释度最高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稀释度最低  </w:t>
            </w:r>
          </w:p>
          <w:p w14:paraId="1695556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最高和最低的平均值  </w:t>
            </w:r>
          </w:p>
          <w:p w14:paraId="79FA58DC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重新检测一次</w:t>
            </w:r>
          </w:p>
        </w:tc>
        <w:tc>
          <w:tcPr>
            <w:tcW w:w="2251" w:type="dxa"/>
            <w:gridSpan w:val="2"/>
            <w:vAlign w:val="center"/>
          </w:tcPr>
          <w:p w14:paraId="142FE736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0CC5BCB1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14:paraId="65F568A2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09CA41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2"/>
                <w:sz w:val="24"/>
                <w:szCs w:val="24"/>
                <w:lang w:val="en-US" w:bidi="ar-SA"/>
              </w:rPr>
              <w:t>案例分析：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n=5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，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c=2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，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m=100 CF  U/g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，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M=1000 CFU/g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 w:bidi="ar-SA"/>
              </w:rPr>
              <w:t>，判断产品合格与不合格情况，下列说法错误的是</w:t>
            </w:r>
            <w:r>
              <w:rPr>
                <w:rFonts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64501BE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、从一批产品中采集</w:t>
            </w:r>
            <w:r>
              <w:rPr>
                <w:color w:val="000000"/>
                <w:sz w:val="24"/>
                <w:szCs w:val="24"/>
              </w:rPr>
              <w:t>5个样品，若5个样品的检验结果均小于或等于≤100CFU/g，则产品合格</w:t>
            </w:r>
          </w:p>
          <w:p w14:paraId="704BA8C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、若</w:t>
            </w:r>
            <w:r>
              <w:rPr>
                <w:color w:val="000000"/>
                <w:sz w:val="24"/>
                <w:szCs w:val="24"/>
              </w:rPr>
              <w:t xml:space="preserve">≤2个样品的结果（X）位于m值和M值之间（100 CF U/g&lt;X≤1000CFU/g），则产品合格  </w:t>
            </w:r>
          </w:p>
          <w:p w14:paraId="219628FE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、若有</w:t>
            </w:r>
            <w:r>
              <w:rPr>
                <w:color w:val="000000"/>
                <w:sz w:val="24"/>
                <w:szCs w:val="24"/>
              </w:rPr>
              <w:t>3个及以上样品的检验结果位于m值和M值之间，则产品合格</w:t>
            </w:r>
          </w:p>
          <w:p w14:paraId="18AF5E56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、若有任一样品的检验结果</w:t>
            </w:r>
            <w:r>
              <w:rPr>
                <w:color w:val="000000"/>
                <w:sz w:val="24"/>
                <w:szCs w:val="24"/>
              </w:rPr>
              <w:t>&gt;1000 CFU/g，则产品不合格</w:t>
            </w:r>
          </w:p>
        </w:tc>
        <w:tc>
          <w:tcPr>
            <w:tcW w:w="2251" w:type="dxa"/>
            <w:gridSpan w:val="2"/>
            <w:vAlign w:val="center"/>
          </w:tcPr>
          <w:p w14:paraId="1AC2B65A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ADA5B82" w14:textId="77777777" w:rsidR="000D13A6" w:rsidRDefault="000D13A6">
            <w:pPr>
              <w:pStyle w:val="a9"/>
              <w:spacing w:before="0" w:after="0"/>
              <w:jc w:val="center"/>
              <w:rPr>
                <w:rFonts w:ascii="仿宋" w:eastAsia="仿宋" w:hAnsi="仿宋" w:cs="仿宋"/>
                <w:kern w:val="0"/>
                <w:lang w:bidi="zh-CN"/>
              </w:rPr>
            </w:pPr>
          </w:p>
        </w:tc>
      </w:tr>
      <w:tr w:rsidR="000D13A6" w:rsidRPr="00333BFE" w14:paraId="5EDE675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2BC09F6" w14:textId="77777777" w:rsidR="000D13A6" w:rsidRDefault="00130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斐林试剂与葡萄糖作用生成红色的</w:t>
            </w:r>
            <w:r>
              <w:rPr>
                <w:rFonts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沉淀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52D6E68D" w14:textId="77777777" w:rsidR="000D13A6" w:rsidRDefault="0013052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rFonts w:hint="eastAsia"/>
                <w:sz w:val="24"/>
                <w:szCs w:val="24"/>
              </w:rPr>
              <w:t>、</w:t>
            </w:r>
            <w:proofErr w:type="spellStart"/>
            <w:r>
              <w:rPr>
                <w:sz w:val="24"/>
                <w:szCs w:val="24"/>
                <w:lang w:val="en-US"/>
              </w:rPr>
              <w:t>CuO</w:t>
            </w:r>
            <w:proofErr w:type="spellEnd"/>
            <w:r>
              <w:rPr>
                <w:rFonts w:hint="eastAsia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            B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  <w:lang w:val="en-US"/>
              </w:rPr>
              <w:t>Cu(OH)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14:paraId="1957944E" w14:textId="77777777" w:rsidR="000D13A6" w:rsidRDefault="00130529">
            <w:pPr>
              <w:widowControl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en-US" w:bidi="ar-SA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  <w:lang w:val="en-US"/>
              </w:rPr>
              <w:t>Cu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              D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  <w:lang w:val="en-US"/>
              </w:rPr>
              <w:t>Fe</w:t>
            </w:r>
            <w:r>
              <w:rPr>
                <w:rFonts w:hint="eastAsia"/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OH</w:t>
            </w:r>
            <w:r>
              <w:rPr>
                <w:rFonts w:hint="eastAsia"/>
                <w:sz w:val="24"/>
                <w:szCs w:val="24"/>
                <w:lang w:val="en-US"/>
              </w:rPr>
              <w:t>)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251" w:type="dxa"/>
            <w:gridSpan w:val="2"/>
            <w:vAlign w:val="center"/>
          </w:tcPr>
          <w:p w14:paraId="4FE12916" w14:textId="77777777" w:rsidR="000D13A6" w:rsidRDefault="000D13A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0BF2060A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sz w:val="24"/>
                <w:szCs w:val="24"/>
                <w:lang w:val="en-US"/>
              </w:rPr>
            </w:pPr>
          </w:p>
        </w:tc>
      </w:tr>
      <w:tr w:rsidR="000D13A6" w14:paraId="49B790C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52ED61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使蛋白质沉淀的试剂是（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40D8CCC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、葡萄糖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</w:t>
            </w: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、氯化钠</w:t>
            </w:r>
          </w:p>
          <w:p w14:paraId="583501F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、硝酸钾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     </w:t>
            </w: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、硫酸铜</w:t>
            </w:r>
          </w:p>
        </w:tc>
        <w:tc>
          <w:tcPr>
            <w:tcW w:w="2251" w:type="dxa"/>
            <w:gridSpan w:val="2"/>
            <w:vAlign w:val="center"/>
          </w:tcPr>
          <w:p w14:paraId="0499AE30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16BC1D2A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A104DBC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23AD95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测定水硬度通常用的方法是（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）。</w:t>
            </w:r>
          </w:p>
        </w:tc>
        <w:tc>
          <w:tcPr>
            <w:tcW w:w="4527" w:type="dxa"/>
            <w:gridSpan w:val="2"/>
            <w:vAlign w:val="center"/>
          </w:tcPr>
          <w:p w14:paraId="46AFF841" w14:textId="77777777" w:rsidR="000D13A6" w:rsidRDefault="00130529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、沉淀滴定法</w:t>
            </w:r>
            <w:r>
              <w:rPr>
                <w:color w:val="000000"/>
                <w:sz w:val="24"/>
                <w:szCs w:val="24"/>
              </w:rPr>
              <w:t xml:space="preserve">      B</w:t>
            </w:r>
            <w:r>
              <w:rPr>
                <w:rFonts w:hint="eastAsia"/>
                <w:color w:val="000000"/>
                <w:sz w:val="24"/>
                <w:szCs w:val="24"/>
              </w:rPr>
              <w:t>、氧化还原滴定法</w:t>
            </w: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、配位滴定法</w:t>
            </w:r>
            <w:r>
              <w:rPr>
                <w:color w:val="000000"/>
                <w:sz w:val="24"/>
                <w:szCs w:val="24"/>
              </w:rPr>
              <w:t xml:space="preserve">      D</w:t>
            </w:r>
            <w:r>
              <w:rPr>
                <w:rFonts w:hint="eastAsia"/>
                <w:color w:val="000000"/>
                <w:sz w:val="24"/>
                <w:szCs w:val="24"/>
              </w:rPr>
              <w:t>、酸碱滴定法</w:t>
            </w:r>
          </w:p>
        </w:tc>
        <w:tc>
          <w:tcPr>
            <w:tcW w:w="2251" w:type="dxa"/>
            <w:gridSpan w:val="2"/>
            <w:vAlign w:val="center"/>
          </w:tcPr>
          <w:p w14:paraId="67D3AACE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E4C8ED5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:rsidRPr="00333BFE" w14:paraId="6C9D0F01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7E82DC4A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测定酱菜中NaCl所用的标准溶液是</w:t>
            </w:r>
            <w:r>
              <w:rPr>
                <w:rFonts w:hint="eastAsia"/>
                <w:color w:val="000000"/>
                <w:sz w:val="24"/>
                <w:szCs w:val="24"/>
              </w:rPr>
              <w:t>（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7D4A0F85" w14:textId="77777777" w:rsidR="000D13A6" w:rsidRDefault="00130529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NaOH     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HCl</w:t>
            </w:r>
          </w:p>
          <w:p w14:paraId="1D425F46" w14:textId="77777777" w:rsidR="000D13A6" w:rsidRDefault="00130529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Na</w:t>
            </w:r>
            <w:r>
              <w:rPr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CO</w:t>
            </w:r>
            <w:r>
              <w:rPr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val="en-US"/>
              </w:rPr>
              <w:tab/>
              <w:t xml:space="preserve">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  <w:lang w:val="en-US"/>
              </w:rPr>
              <w:t>AgNO</w:t>
            </w:r>
            <w:r>
              <w:rPr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251" w:type="dxa"/>
            <w:gridSpan w:val="2"/>
            <w:vAlign w:val="center"/>
          </w:tcPr>
          <w:p w14:paraId="164DC0F2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3FEFC673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44C568C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055826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总酸度的测定结果通常以样品中含量最多的那种酸表示。要在结果中注明以哪种酸计，下列哪种酸不能</w:t>
            </w:r>
            <w:r>
              <w:rPr>
                <w:rFonts w:hint="eastAsia"/>
                <w:color w:val="000000"/>
                <w:sz w:val="24"/>
                <w:szCs w:val="24"/>
              </w:rPr>
              <w:lastRenderedPageBreak/>
              <w:t>用来表示食品中总酸的含量（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）。</w:t>
            </w:r>
          </w:p>
        </w:tc>
        <w:tc>
          <w:tcPr>
            <w:tcW w:w="4527" w:type="dxa"/>
            <w:gridSpan w:val="2"/>
            <w:vAlign w:val="center"/>
          </w:tcPr>
          <w:p w14:paraId="4B78E975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、苹果酸</w:t>
            </w:r>
            <w:r>
              <w:rPr>
                <w:color w:val="000000"/>
                <w:sz w:val="24"/>
                <w:szCs w:val="24"/>
              </w:rPr>
              <w:t xml:space="preserve">    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、乙酸</w:t>
            </w:r>
          </w:p>
          <w:p w14:paraId="78A11C3F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、酒石酸 </w:t>
            </w:r>
            <w:r>
              <w:rPr>
                <w:color w:val="000000"/>
                <w:sz w:val="24"/>
                <w:szCs w:val="24"/>
              </w:rPr>
              <w:t xml:space="preserve">    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、硫酸</w:t>
            </w:r>
          </w:p>
        </w:tc>
        <w:tc>
          <w:tcPr>
            <w:tcW w:w="2251" w:type="dxa"/>
            <w:gridSpan w:val="2"/>
            <w:vAlign w:val="center"/>
          </w:tcPr>
          <w:p w14:paraId="57C5888F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014B089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565C1723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6450D76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下列哪种方法可以测定维生素</w:t>
            </w:r>
            <w:r>
              <w:rPr>
                <w:color w:val="000000"/>
                <w:sz w:val="24"/>
                <w:szCs w:val="24"/>
              </w:rPr>
              <w:t>A (   )。</w:t>
            </w:r>
          </w:p>
        </w:tc>
        <w:tc>
          <w:tcPr>
            <w:tcW w:w="4527" w:type="dxa"/>
            <w:gridSpan w:val="2"/>
            <w:vAlign w:val="center"/>
          </w:tcPr>
          <w:p w14:paraId="0C639C9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、三氯化锑比色法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47A824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 xml:space="preserve">2,4-二硝基苯肼比色法 </w:t>
            </w:r>
          </w:p>
          <w:p w14:paraId="4AE5A81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、茚三酮显色法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76DD484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</w:t>
            </w:r>
            <w:r>
              <w:rPr>
                <w:color w:val="000000"/>
                <w:sz w:val="24"/>
                <w:szCs w:val="24"/>
              </w:rPr>
              <w:t>2,6-二氯靛酚滴定法</w:t>
            </w:r>
          </w:p>
        </w:tc>
        <w:tc>
          <w:tcPr>
            <w:tcW w:w="2251" w:type="dxa"/>
            <w:gridSpan w:val="2"/>
            <w:vAlign w:val="center"/>
          </w:tcPr>
          <w:p w14:paraId="7B7EB034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463ABC71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62ACD725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25F07C9F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食品样品量较大时，最好的缩分样品的方法是</w:t>
            </w:r>
            <w:r>
              <w:rPr>
                <w:color w:val="000000"/>
                <w:sz w:val="24"/>
                <w:szCs w:val="24"/>
              </w:rPr>
              <w:t>(   )。</w:t>
            </w:r>
          </w:p>
        </w:tc>
        <w:tc>
          <w:tcPr>
            <w:tcW w:w="4527" w:type="dxa"/>
            <w:gridSpan w:val="2"/>
            <w:vAlign w:val="center"/>
          </w:tcPr>
          <w:p w14:paraId="15E9B09D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、四分法</w:t>
            </w:r>
            <w:r>
              <w:rPr>
                <w:color w:val="000000"/>
                <w:sz w:val="24"/>
                <w:szCs w:val="24"/>
              </w:rPr>
              <w:t xml:space="preserve">          B</w:t>
            </w:r>
            <w:r>
              <w:rPr>
                <w:rFonts w:hint="eastAsia"/>
                <w:color w:val="000000"/>
                <w:sz w:val="24"/>
                <w:szCs w:val="24"/>
              </w:rPr>
              <w:t>、使用分样器</w:t>
            </w:r>
          </w:p>
          <w:p w14:paraId="41292A23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、棋盘法</w:t>
            </w:r>
            <w:r>
              <w:rPr>
                <w:color w:val="000000"/>
                <w:sz w:val="24"/>
                <w:szCs w:val="24"/>
              </w:rPr>
              <w:t xml:space="preserve">          D</w:t>
            </w:r>
            <w:r>
              <w:rPr>
                <w:rFonts w:hint="eastAsia"/>
                <w:color w:val="000000"/>
                <w:sz w:val="24"/>
                <w:szCs w:val="24"/>
              </w:rPr>
              <w:t>、用铁铲平分</w:t>
            </w:r>
          </w:p>
        </w:tc>
        <w:tc>
          <w:tcPr>
            <w:tcW w:w="2251" w:type="dxa"/>
            <w:gridSpan w:val="2"/>
            <w:vAlign w:val="center"/>
          </w:tcPr>
          <w:p w14:paraId="634255E8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02E6934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70921A1D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1BC683CF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实验室安全守则中规定，严格任何</w:t>
            </w:r>
            <w:r>
              <w:rPr>
                <w:color w:val="000000"/>
                <w:sz w:val="24"/>
                <w:szCs w:val="24"/>
              </w:rPr>
              <w:t>(   )入口或接触伤口，不能用(   )代替餐具。</w:t>
            </w:r>
          </w:p>
        </w:tc>
        <w:tc>
          <w:tcPr>
            <w:tcW w:w="4527" w:type="dxa"/>
            <w:gridSpan w:val="2"/>
            <w:vAlign w:val="center"/>
          </w:tcPr>
          <w:p w14:paraId="29BB4CC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、食品，烧杯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</w:p>
          <w:p w14:paraId="117C5691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、药品，玻璃仪器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</w:p>
          <w:p w14:paraId="6A11B2F8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、药品，烧杯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</w:p>
          <w:p w14:paraId="440BBA12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、食品，玻璃仪器</w:t>
            </w:r>
          </w:p>
        </w:tc>
        <w:tc>
          <w:tcPr>
            <w:tcW w:w="2251" w:type="dxa"/>
            <w:gridSpan w:val="2"/>
            <w:vAlign w:val="center"/>
          </w:tcPr>
          <w:p w14:paraId="10EE268C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1B4992D1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201E75E2" w14:textId="77777777">
        <w:trPr>
          <w:trHeight w:val="567"/>
          <w:jc w:val="center"/>
        </w:trPr>
        <w:tc>
          <w:tcPr>
            <w:tcW w:w="3823" w:type="dxa"/>
            <w:vAlign w:val="center"/>
          </w:tcPr>
          <w:p w14:paraId="3000C199" w14:textId="77777777" w:rsidR="000D13A6" w:rsidRDefault="00130529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酸度计测定溶液的</w:t>
            </w:r>
            <w:r>
              <w:rPr>
                <w:color w:val="000000"/>
                <w:sz w:val="24"/>
                <w:szCs w:val="24"/>
              </w:rPr>
              <w:t>pH值时，甘汞电极的(   )</w:t>
            </w:r>
            <w:r>
              <w:rPr>
                <w:rFonts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527" w:type="dxa"/>
            <w:gridSpan w:val="2"/>
            <w:vAlign w:val="center"/>
          </w:tcPr>
          <w:p w14:paraId="280FD630" w14:textId="77777777" w:rsidR="000D13A6" w:rsidRDefault="00130529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rFonts w:hint="eastAsia"/>
                <w:color w:val="000000"/>
                <w:sz w:val="24"/>
                <w:szCs w:val="24"/>
              </w:rPr>
              <w:t>、电极电位不随溶液p</w:t>
            </w:r>
            <w:r>
              <w:rPr>
                <w:color w:val="000000"/>
                <w:sz w:val="24"/>
                <w:szCs w:val="24"/>
              </w:rPr>
              <w:t xml:space="preserve">H值变化      </w:t>
            </w:r>
          </w:p>
          <w:p w14:paraId="0298AD7B" w14:textId="77777777" w:rsidR="000D13A6" w:rsidRDefault="00130529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>
              <w:rPr>
                <w:rFonts w:hint="eastAsia"/>
                <w:color w:val="000000"/>
                <w:sz w:val="24"/>
                <w:szCs w:val="24"/>
              </w:rPr>
              <w:t>、通过的电极电流始终相同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  <w:p w14:paraId="36440A72" w14:textId="77777777" w:rsidR="000D13A6" w:rsidRDefault="00130529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</w:rPr>
              <w:t>、电极电位随溶液p</w:t>
            </w:r>
            <w:r>
              <w:rPr>
                <w:color w:val="000000"/>
                <w:sz w:val="24"/>
                <w:szCs w:val="24"/>
              </w:rPr>
              <w:t xml:space="preserve">H值变化     </w:t>
            </w:r>
          </w:p>
          <w:p w14:paraId="6B518B2F" w14:textId="77777777" w:rsidR="000D13A6" w:rsidRDefault="00130529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>
              <w:rPr>
                <w:rFonts w:hint="eastAsia"/>
                <w:color w:val="000000"/>
                <w:sz w:val="24"/>
                <w:szCs w:val="24"/>
              </w:rPr>
              <w:t>、电极电位始终在变</w:t>
            </w:r>
          </w:p>
        </w:tc>
        <w:tc>
          <w:tcPr>
            <w:tcW w:w="2251" w:type="dxa"/>
            <w:gridSpan w:val="2"/>
            <w:vAlign w:val="center"/>
          </w:tcPr>
          <w:p w14:paraId="32557DC4" w14:textId="77777777" w:rsidR="000D13A6" w:rsidRDefault="000D13A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14C68D11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B9D1520" w14:textId="77777777" w:rsidR="000D13A6" w:rsidRDefault="000D13A6">
      <w:pPr>
        <w:jc w:val="center"/>
        <w:rPr>
          <w:b/>
          <w:color w:val="000000"/>
          <w:sz w:val="24"/>
          <w:szCs w:val="24"/>
          <w:lang w:val="en-US"/>
        </w:rPr>
      </w:pPr>
    </w:p>
    <w:p w14:paraId="6440450A" w14:textId="77777777" w:rsidR="000D13A6" w:rsidRDefault="00130529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br w:type="page"/>
      </w:r>
      <w:r>
        <w:rPr>
          <w:rFonts w:hint="eastAsia"/>
          <w:b/>
          <w:color w:val="000000"/>
          <w:sz w:val="24"/>
          <w:szCs w:val="24"/>
          <w:lang w:val="en-US"/>
        </w:rPr>
        <w:lastRenderedPageBreak/>
        <w:t>表2</w:t>
      </w:r>
      <w:r>
        <w:rPr>
          <w:b/>
          <w:color w:val="000000"/>
          <w:sz w:val="24"/>
          <w:szCs w:val="24"/>
          <w:lang w:val="en-US"/>
        </w:rPr>
        <w:t>-5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多选题</w:t>
      </w:r>
    </w:p>
    <w:tbl>
      <w:tblPr>
        <w:tblW w:w="13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2762"/>
        <w:gridCol w:w="3119"/>
        <w:gridCol w:w="109"/>
        <w:gridCol w:w="1169"/>
        <w:gridCol w:w="2315"/>
      </w:tblGrid>
      <w:tr w:rsidR="000D13A6" w:rsidRPr="00333BFE" w14:paraId="1CE79DF4" w14:textId="77777777">
        <w:trPr>
          <w:trHeight w:val="567"/>
          <w:jc w:val="center"/>
        </w:trPr>
        <w:tc>
          <w:tcPr>
            <w:tcW w:w="3612" w:type="dxa"/>
            <w:vAlign w:val="center"/>
          </w:tcPr>
          <w:p w14:paraId="10A5775D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2762" w:type="dxa"/>
            <w:vAlign w:val="center"/>
          </w:tcPr>
          <w:p w14:paraId="36E0DF63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228" w:type="dxa"/>
            <w:gridSpan w:val="2"/>
            <w:vAlign w:val="center"/>
          </w:tcPr>
          <w:p w14:paraId="6BE6A012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484" w:type="dxa"/>
            <w:gridSpan w:val="2"/>
            <w:vAlign w:val="center"/>
          </w:tcPr>
          <w:p w14:paraId="0997BAD8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0D13A6" w14:paraId="6B01F56B" w14:textId="77777777">
        <w:trPr>
          <w:trHeight w:val="567"/>
          <w:jc w:val="center"/>
        </w:trPr>
        <w:tc>
          <w:tcPr>
            <w:tcW w:w="3612" w:type="dxa"/>
            <w:vAlign w:val="center"/>
          </w:tcPr>
          <w:p w14:paraId="7CA356EE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2762" w:type="dxa"/>
            <w:vAlign w:val="center"/>
          </w:tcPr>
          <w:p w14:paraId="214AD8A1" w14:textId="3666CA03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4F656F2E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484" w:type="dxa"/>
            <w:gridSpan w:val="2"/>
            <w:vAlign w:val="center"/>
          </w:tcPr>
          <w:p w14:paraId="016717A0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0D13A6" w14:paraId="01432752" w14:textId="77777777">
        <w:trPr>
          <w:trHeight w:val="567"/>
          <w:jc w:val="center"/>
        </w:trPr>
        <w:tc>
          <w:tcPr>
            <w:tcW w:w="13086" w:type="dxa"/>
            <w:gridSpan w:val="6"/>
            <w:vAlign w:val="center"/>
          </w:tcPr>
          <w:p w14:paraId="4530EEBA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0D13A6" w14:paraId="74E06640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8482ECA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712" w:type="dxa"/>
            <w:gridSpan w:val="4"/>
            <w:vAlign w:val="center"/>
          </w:tcPr>
          <w:p w14:paraId="54379F20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0D13A6" w14:paraId="45D88ABD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5FBFA2AE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□学生组 □教师组 □师生联队试点赛项</w:t>
            </w:r>
          </w:p>
        </w:tc>
        <w:tc>
          <w:tcPr>
            <w:tcW w:w="6712" w:type="dxa"/>
            <w:gridSpan w:val="4"/>
            <w:vAlign w:val="center"/>
          </w:tcPr>
          <w:p w14:paraId="55D0C9BF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0D13A6" w14:paraId="3E9B5498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1F4F5326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712" w:type="dxa"/>
            <w:gridSpan w:val="4"/>
            <w:vAlign w:val="center"/>
          </w:tcPr>
          <w:p w14:paraId="41358E27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0D13A6" w14:paraId="5276FF36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680930AB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3119" w:type="dxa"/>
            <w:vAlign w:val="center"/>
          </w:tcPr>
          <w:p w14:paraId="439D0E13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题目选项</w:t>
            </w:r>
          </w:p>
        </w:tc>
        <w:tc>
          <w:tcPr>
            <w:tcW w:w="1278" w:type="dxa"/>
            <w:gridSpan w:val="2"/>
            <w:vAlign w:val="center"/>
          </w:tcPr>
          <w:p w14:paraId="7B31D5B3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315" w:type="dxa"/>
            <w:vAlign w:val="center"/>
          </w:tcPr>
          <w:p w14:paraId="41E03C52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0D13A6" w14:paraId="3E7B06A1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3A29AA43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下列属于食品中危害因素的是</w:t>
            </w:r>
            <w:r>
              <w:rPr>
                <w:rFonts w:hint="eastAsia"/>
                <w:bCs/>
                <w:sz w:val="24"/>
                <w:szCs w:val="24"/>
              </w:rPr>
              <w:t xml:space="preserve">（ 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>）</w:t>
            </w:r>
            <w:r>
              <w:rPr>
                <w:sz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6B75988A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A、农兽药残留</w:t>
            </w:r>
          </w:p>
          <w:p w14:paraId="1969DBEC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B、丁基羟基茴香醚</w:t>
            </w:r>
          </w:p>
          <w:p w14:paraId="0D26B4E5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C、生物毒素</w:t>
            </w:r>
          </w:p>
          <w:p w14:paraId="20F6659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D、致病菌</w:t>
            </w:r>
          </w:p>
        </w:tc>
        <w:tc>
          <w:tcPr>
            <w:tcW w:w="1278" w:type="dxa"/>
            <w:gridSpan w:val="2"/>
            <w:vAlign w:val="center"/>
          </w:tcPr>
          <w:p w14:paraId="27A45F19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67E1049E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2FBBAF0F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10BA112D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以下哪些情形需要进行食品安全风险评估（ </w:t>
            </w:r>
            <w:r>
              <w:rPr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>）。</w:t>
            </w:r>
          </w:p>
        </w:tc>
        <w:tc>
          <w:tcPr>
            <w:tcW w:w="3119" w:type="dxa"/>
            <w:vAlign w:val="center"/>
          </w:tcPr>
          <w:p w14:paraId="4D31B826" w14:textId="77777777" w:rsidR="000D13A6" w:rsidRDefault="00130529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A、接到举报发现食品存在安全隐患</w:t>
            </w:r>
          </w:p>
          <w:p w14:paraId="07726A9E" w14:textId="77777777" w:rsidR="000D13A6" w:rsidRDefault="00130529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B、发现新的可能危害食品安全因素</w:t>
            </w:r>
          </w:p>
          <w:p w14:paraId="4B70D696" w14:textId="77777777" w:rsidR="000D13A6" w:rsidRDefault="00130529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C、判断某一因素是否构成食品安全隐患</w:t>
            </w:r>
          </w:p>
          <w:p w14:paraId="42E51242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D、制定食品安全国家标准提供科学依据</w:t>
            </w:r>
          </w:p>
        </w:tc>
        <w:tc>
          <w:tcPr>
            <w:tcW w:w="1278" w:type="dxa"/>
            <w:gridSpan w:val="2"/>
            <w:vAlign w:val="center"/>
          </w:tcPr>
          <w:p w14:paraId="68FA38AE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625D48B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A09E752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4E37A1B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lastRenderedPageBreak/>
              <w:t>下列属于食品安全计划抽检重点的有</w:t>
            </w:r>
            <w:r>
              <w:rPr>
                <w:rFonts w:hint="eastAsia"/>
                <w:bCs/>
                <w:sz w:val="24"/>
                <w:szCs w:val="24"/>
              </w:rPr>
              <w:t xml:space="preserve">（ 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>）。</w:t>
            </w:r>
          </w:p>
        </w:tc>
        <w:tc>
          <w:tcPr>
            <w:tcW w:w="3119" w:type="dxa"/>
            <w:vAlign w:val="center"/>
          </w:tcPr>
          <w:p w14:paraId="474416CA" w14:textId="77777777" w:rsidR="000D13A6" w:rsidRDefault="00130529">
            <w:pPr>
              <w:rPr>
                <w:sz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A、</w:t>
            </w:r>
            <w:r>
              <w:rPr>
                <w:rFonts w:hint="eastAsia"/>
                <w:sz w:val="24"/>
              </w:rPr>
              <w:t>风险程度高以及污染水平呈上升趋势的食品</w:t>
            </w:r>
          </w:p>
          <w:p w14:paraId="1A2B2265" w14:textId="77777777" w:rsidR="000D13A6" w:rsidRDefault="00130529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B、流通量小的食品</w:t>
            </w:r>
          </w:p>
          <w:p w14:paraId="03D33C76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bCs/>
              </w:rPr>
              <w:t>C、</w:t>
            </w:r>
            <w:r>
              <w:rPr>
                <w:rFonts w:ascii="仿宋" w:eastAsia="仿宋" w:hAnsi="仿宋" w:cs="仿宋"/>
                <w:bCs/>
                <w:lang w:val="zh-CN" w:bidi="zh-CN"/>
              </w:rPr>
              <w:t>专供婴幼儿和其他特定人群的主辅食品</w:t>
            </w:r>
          </w:p>
          <w:p w14:paraId="59C31E15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D、学校和托幼机构食堂以及旅游景区餐饮服务单位、中央厨房、机体用餐配送单位经营的食品</w:t>
            </w:r>
          </w:p>
        </w:tc>
        <w:tc>
          <w:tcPr>
            <w:tcW w:w="1278" w:type="dxa"/>
            <w:gridSpan w:val="2"/>
            <w:vAlign w:val="center"/>
          </w:tcPr>
          <w:p w14:paraId="2D65F3B5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3B4325B2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539B6039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8FBFD7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光谱仪的一般维护有</w:t>
            </w:r>
            <w:r>
              <w:rPr>
                <w:bCs/>
                <w:sz w:val="24"/>
                <w:szCs w:val="24"/>
              </w:rPr>
              <w:t>（   ）。</w:t>
            </w:r>
          </w:p>
        </w:tc>
        <w:tc>
          <w:tcPr>
            <w:tcW w:w="3119" w:type="dxa"/>
            <w:vAlign w:val="center"/>
          </w:tcPr>
          <w:p w14:paraId="4637C5C7" w14:textId="77777777" w:rsidR="000D13A6" w:rsidRDefault="00130529">
            <w:pPr>
              <w:pStyle w:val="mrt20"/>
              <w:widowControl/>
              <w:spacing w:before="0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 xml:space="preserve">A、防止积尘 </w:t>
            </w:r>
          </w:p>
          <w:p w14:paraId="64AB2D52" w14:textId="77777777" w:rsidR="000D13A6" w:rsidRDefault="00130529">
            <w:pPr>
              <w:pStyle w:val="mrt20"/>
              <w:widowControl/>
              <w:spacing w:before="0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B、防止印迹</w:t>
            </w:r>
          </w:p>
          <w:p w14:paraId="15F68E50" w14:textId="77777777" w:rsidR="000D13A6" w:rsidRDefault="00130529">
            <w:pPr>
              <w:pStyle w:val="mrt20"/>
              <w:widowControl/>
              <w:spacing w:before="0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C、防止霉雾</w:t>
            </w:r>
          </w:p>
          <w:p w14:paraId="2EBE5FA4" w14:textId="77777777" w:rsidR="000D13A6" w:rsidRDefault="00130529">
            <w:pPr>
              <w:pStyle w:val="mrt20"/>
              <w:widowControl/>
              <w:spacing w:before="0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D、防止锈蚀</w:t>
            </w:r>
          </w:p>
        </w:tc>
        <w:tc>
          <w:tcPr>
            <w:tcW w:w="1278" w:type="dxa"/>
            <w:gridSpan w:val="2"/>
            <w:vAlign w:val="center"/>
          </w:tcPr>
          <w:p w14:paraId="5867E27B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24686299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sz w:val="24"/>
                <w:szCs w:val="24"/>
                <w:lang w:val="en-US"/>
              </w:rPr>
            </w:pPr>
          </w:p>
        </w:tc>
      </w:tr>
      <w:tr w:rsidR="000D13A6" w14:paraId="6643803B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AC73FFB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毒力是评价引起细菌性食物中毒的病原菌致病强弱的程度，构成细菌毒力的要素包括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 xml:space="preserve">   ）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18EE286C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A、外毒素</w:t>
            </w:r>
            <w:r>
              <w:rPr>
                <w:rFonts w:ascii="Calibri" w:eastAsia="仿宋" w:hAnsi="Calibri" w:cs="Calibri" w:hint="default"/>
                <w:bCs/>
                <w:lang w:val="zh-CN" w:bidi="zh-CN"/>
              </w:rPr>
              <w:t> </w:t>
            </w:r>
          </w:p>
          <w:p w14:paraId="03917F78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B、内毒素</w:t>
            </w:r>
            <w:r>
              <w:rPr>
                <w:rFonts w:ascii="Calibri" w:eastAsia="仿宋" w:hAnsi="Calibri" w:cs="Calibri" w:hint="default"/>
                <w:bCs/>
                <w:lang w:val="zh-CN" w:bidi="zh-CN"/>
              </w:rPr>
              <w:t> </w:t>
            </w:r>
          </w:p>
          <w:p w14:paraId="7FD3D5F6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val="zh-CN"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C、D</w:t>
            </w:r>
            <w:r>
              <w:rPr>
                <w:rFonts w:ascii="仿宋" w:eastAsia="仿宋" w:hAnsi="仿宋" w:cs="仿宋" w:hint="default"/>
                <w:bCs/>
                <w:lang w:val="zh-CN" w:bidi="zh-CN"/>
              </w:rPr>
              <w:t>NA</w:t>
            </w:r>
            <w:r>
              <w:rPr>
                <w:rFonts w:ascii="仿宋" w:eastAsia="仿宋" w:hAnsi="仿宋" w:cs="仿宋"/>
                <w:bCs/>
                <w:lang w:val="zh-CN" w:bidi="zh-CN"/>
              </w:rPr>
              <w:t>酶</w:t>
            </w:r>
            <w:r>
              <w:rPr>
                <w:rFonts w:ascii="Calibri" w:eastAsia="仿宋" w:hAnsi="Calibri" w:cs="Calibri" w:hint="default"/>
                <w:bCs/>
                <w:vertAlign w:val="superscript"/>
                <w:lang w:val="zh-CN" w:bidi="zh-CN"/>
              </w:rPr>
              <w:t> </w:t>
            </w:r>
            <w:r>
              <w:rPr>
                <w:rFonts w:ascii="Calibri" w:eastAsia="仿宋" w:hAnsi="Calibri" w:cs="Calibri" w:hint="default"/>
                <w:bCs/>
                <w:lang w:val="zh-CN" w:bidi="zh-CN"/>
              </w:rPr>
              <w:t> </w:t>
            </w:r>
          </w:p>
          <w:p w14:paraId="7CC4477C" w14:textId="77777777" w:rsidR="000D13A6" w:rsidRDefault="00130529">
            <w:pPr>
              <w:pStyle w:val="mrt20"/>
              <w:widowControl/>
              <w:spacing w:before="0"/>
              <w:jc w:val="both"/>
              <w:rPr>
                <w:rFonts w:ascii="仿宋" w:eastAsia="仿宋" w:hAnsi="仿宋" w:cs="仿宋" w:hint="default"/>
                <w:bCs/>
                <w:lang w:bidi="zh-CN"/>
              </w:rPr>
            </w:pPr>
            <w:r>
              <w:rPr>
                <w:rFonts w:ascii="仿宋" w:eastAsia="仿宋" w:hAnsi="仿宋" w:cs="仿宋"/>
                <w:bCs/>
                <w:lang w:val="zh-CN" w:bidi="zh-CN"/>
              </w:rPr>
              <w:t>D、荚膜</w:t>
            </w:r>
          </w:p>
        </w:tc>
        <w:tc>
          <w:tcPr>
            <w:tcW w:w="1278" w:type="dxa"/>
            <w:gridSpan w:val="2"/>
            <w:vAlign w:val="center"/>
          </w:tcPr>
          <w:p w14:paraId="10F74979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79CA704F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sz w:val="24"/>
                <w:szCs w:val="24"/>
                <w:lang w:val="en-US"/>
              </w:rPr>
            </w:pPr>
          </w:p>
        </w:tc>
      </w:tr>
      <w:tr w:rsidR="000D13A6" w14:paraId="23BE6395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469B4940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高效液相色谱法检测器，下列为通用型检测器的是（</w:t>
            </w:r>
            <w:r>
              <w:rPr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Cs/>
                <w:sz w:val="24"/>
                <w:szCs w:val="24"/>
              </w:rPr>
              <w:t>）。</w:t>
            </w:r>
          </w:p>
        </w:tc>
        <w:tc>
          <w:tcPr>
            <w:tcW w:w="3119" w:type="dxa"/>
            <w:vAlign w:val="center"/>
          </w:tcPr>
          <w:p w14:paraId="4E55F2B7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</w:t>
            </w:r>
            <w:r>
              <w:rPr>
                <w:rFonts w:hint="eastAsia"/>
                <w:bCs/>
                <w:sz w:val="24"/>
                <w:szCs w:val="24"/>
              </w:rPr>
              <w:t>紫外</w:t>
            </w:r>
            <w:r>
              <w:rPr>
                <w:bCs/>
                <w:sz w:val="24"/>
                <w:szCs w:val="24"/>
              </w:rPr>
              <w:t>-可见光检测</w:t>
            </w:r>
            <w:r>
              <w:rPr>
                <w:rFonts w:hint="eastAsia"/>
                <w:bCs/>
                <w:sz w:val="24"/>
                <w:szCs w:val="24"/>
              </w:rPr>
              <w:t>器</w:t>
            </w:r>
          </w:p>
          <w:p w14:paraId="524D47D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B、</w:t>
            </w:r>
            <w:r>
              <w:rPr>
                <w:rFonts w:hint="eastAsia"/>
                <w:bCs/>
                <w:sz w:val="24"/>
                <w:szCs w:val="24"/>
              </w:rPr>
              <w:t>荧光检测器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79CA22D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C、</w:t>
            </w:r>
            <w:r>
              <w:rPr>
                <w:rFonts w:hint="eastAsia"/>
                <w:bCs/>
                <w:sz w:val="24"/>
                <w:szCs w:val="24"/>
              </w:rPr>
              <w:t>蒸发光散射检测器</w:t>
            </w:r>
          </w:p>
          <w:p w14:paraId="5AA7E8EC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</w:t>
            </w:r>
            <w:r>
              <w:rPr>
                <w:rFonts w:hint="eastAsia"/>
                <w:bCs/>
                <w:sz w:val="24"/>
                <w:szCs w:val="24"/>
              </w:rPr>
              <w:t>质谱</w:t>
            </w:r>
          </w:p>
        </w:tc>
        <w:tc>
          <w:tcPr>
            <w:tcW w:w="1278" w:type="dxa"/>
            <w:gridSpan w:val="2"/>
            <w:vAlign w:val="center"/>
          </w:tcPr>
          <w:p w14:paraId="769F9CF1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6454C960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75C93D21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59FF20B2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燃烧器的缝口存积盐类时，火焰可能出现分叉，这时应当</w:t>
            </w:r>
            <w:r>
              <w:rPr>
                <w:bCs/>
                <w:sz w:val="24"/>
                <w:szCs w:val="24"/>
              </w:rPr>
              <w:t>（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 ）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2B963724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</w:t>
            </w:r>
            <w:r>
              <w:rPr>
                <w:rFonts w:hint="eastAsia"/>
                <w:bCs/>
                <w:sz w:val="24"/>
                <w:szCs w:val="24"/>
              </w:rPr>
              <w:t>熄灭火焰</w:t>
            </w:r>
            <w:r>
              <w:rPr>
                <w:bCs/>
                <w:sz w:val="24"/>
                <w:szCs w:val="24"/>
              </w:rPr>
              <w:t xml:space="preserve">   </w:t>
            </w:r>
          </w:p>
          <w:p w14:paraId="3CCE17D3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B、</w:t>
            </w:r>
            <w:r>
              <w:rPr>
                <w:rFonts w:hint="eastAsia"/>
                <w:bCs/>
                <w:sz w:val="24"/>
                <w:szCs w:val="24"/>
              </w:rPr>
              <w:t>用滤纸插入缝口擦拭</w:t>
            </w:r>
          </w:p>
          <w:p w14:paraId="4974D8E3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C、</w:t>
            </w:r>
            <w:r>
              <w:rPr>
                <w:rFonts w:hint="eastAsia"/>
                <w:bCs/>
                <w:sz w:val="24"/>
                <w:szCs w:val="24"/>
              </w:rPr>
              <w:t>用刀片插入缝口轻轻刮除积盐</w:t>
            </w:r>
          </w:p>
          <w:p w14:paraId="22B15123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</w:t>
            </w:r>
            <w:r>
              <w:rPr>
                <w:rFonts w:hint="eastAsia"/>
                <w:bCs/>
                <w:sz w:val="24"/>
                <w:szCs w:val="24"/>
              </w:rPr>
              <w:t>用水冲洗</w:t>
            </w:r>
          </w:p>
        </w:tc>
        <w:tc>
          <w:tcPr>
            <w:tcW w:w="1278" w:type="dxa"/>
            <w:gridSpan w:val="2"/>
            <w:vAlign w:val="center"/>
          </w:tcPr>
          <w:p w14:paraId="078268EF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31005BA9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F18DC3F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443B19EB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lastRenderedPageBreak/>
              <w:t>朗伯－比尔定律是光吸收的基本定律，其意是当一束单色光穿过透明介质时，光强度的降低与</w:t>
            </w:r>
            <w:r>
              <w:rPr>
                <w:bCs/>
                <w:sz w:val="24"/>
                <w:szCs w:val="24"/>
              </w:rPr>
              <w:t>（   ）成正比。</w:t>
            </w:r>
          </w:p>
        </w:tc>
        <w:tc>
          <w:tcPr>
            <w:tcW w:w="3119" w:type="dxa"/>
            <w:vAlign w:val="center"/>
          </w:tcPr>
          <w:p w14:paraId="2A5E1AD3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</w:t>
            </w:r>
            <w:r>
              <w:rPr>
                <w:rFonts w:hint="eastAsia"/>
                <w:bCs/>
                <w:sz w:val="24"/>
                <w:szCs w:val="24"/>
              </w:rPr>
              <w:t>入射光的强度</w:t>
            </w:r>
          </w:p>
          <w:p w14:paraId="7737CAF2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B、</w:t>
            </w:r>
            <w:r>
              <w:rPr>
                <w:rFonts w:hint="eastAsia"/>
                <w:bCs/>
                <w:sz w:val="24"/>
                <w:szCs w:val="24"/>
              </w:rPr>
              <w:t>吸收介质的材料</w:t>
            </w:r>
            <w:r>
              <w:rPr>
                <w:bCs/>
                <w:sz w:val="24"/>
                <w:szCs w:val="24"/>
              </w:rPr>
              <w:t xml:space="preserve">     </w:t>
            </w:r>
          </w:p>
          <w:p w14:paraId="32718BE5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C、</w:t>
            </w:r>
            <w:r>
              <w:rPr>
                <w:rFonts w:hint="eastAsia"/>
                <w:bCs/>
                <w:sz w:val="24"/>
                <w:szCs w:val="24"/>
              </w:rPr>
              <w:t>光路的弯曲程度</w:t>
            </w:r>
          </w:p>
          <w:p w14:paraId="49108BE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</w:t>
            </w:r>
            <w:r>
              <w:rPr>
                <w:rFonts w:hint="eastAsia"/>
                <w:bCs/>
                <w:sz w:val="24"/>
                <w:szCs w:val="24"/>
              </w:rPr>
              <w:t>吸收介质的厚度</w:t>
            </w:r>
          </w:p>
        </w:tc>
        <w:tc>
          <w:tcPr>
            <w:tcW w:w="1278" w:type="dxa"/>
            <w:gridSpan w:val="2"/>
            <w:vAlign w:val="center"/>
          </w:tcPr>
          <w:p w14:paraId="1AD43A92" w14:textId="77777777" w:rsidR="000D13A6" w:rsidRDefault="000D13A6">
            <w:pPr>
              <w:autoSpaceDE/>
              <w:autoSpaceDN/>
              <w:snapToGri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5AD7AD1B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56834CF7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17C624E5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测定水分含量的方法有</w:t>
            </w:r>
            <w:r>
              <w:rPr>
                <w:bCs/>
                <w:sz w:val="24"/>
                <w:szCs w:val="24"/>
              </w:rPr>
              <w:t>（   ）。</w:t>
            </w:r>
          </w:p>
        </w:tc>
        <w:tc>
          <w:tcPr>
            <w:tcW w:w="3119" w:type="dxa"/>
            <w:vAlign w:val="center"/>
          </w:tcPr>
          <w:p w14:paraId="27822E06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</w:t>
            </w:r>
            <w:r>
              <w:rPr>
                <w:rFonts w:hint="eastAsia"/>
                <w:bCs/>
                <w:sz w:val="24"/>
                <w:szCs w:val="24"/>
              </w:rPr>
              <w:t>常压干燥法</w:t>
            </w:r>
            <w:r>
              <w:rPr>
                <w:bCs/>
                <w:sz w:val="24"/>
                <w:szCs w:val="24"/>
              </w:rPr>
              <w:tab/>
            </w:r>
          </w:p>
          <w:p w14:paraId="482C64EF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B、</w:t>
            </w:r>
            <w:r>
              <w:rPr>
                <w:rFonts w:hint="eastAsia"/>
                <w:bCs/>
                <w:sz w:val="24"/>
                <w:szCs w:val="24"/>
              </w:rPr>
              <w:t>减压干燥法</w:t>
            </w:r>
            <w:r>
              <w:rPr>
                <w:bCs/>
                <w:sz w:val="24"/>
                <w:szCs w:val="24"/>
              </w:rPr>
              <w:t xml:space="preserve">  </w:t>
            </w:r>
          </w:p>
          <w:p w14:paraId="6A290CF9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C、</w:t>
            </w:r>
            <w:r>
              <w:rPr>
                <w:rFonts w:hint="eastAsia"/>
                <w:bCs/>
                <w:sz w:val="24"/>
                <w:szCs w:val="24"/>
              </w:rPr>
              <w:t>红外线干燥法</w:t>
            </w:r>
          </w:p>
          <w:p w14:paraId="43E398BA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</w:t>
            </w:r>
            <w:r>
              <w:rPr>
                <w:rFonts w:hint="eastAsia"/>
                <w:bCs/>
                <w:sz w:val="24"/>
                <w:szCs w:val="24"/>
              </w:rPr>
              <w:t>蒸馏法</w:t>
            </w:r>
          </w:p>
        </w:tc>
        <w:tc>
          <w:tcPr>
            <w:tcW w:w="1278" w:type="dxa"/>
            <w:gridSpan w:val="2"/>
            <w:vAlign w:val="center"/>
          </w:tcPr>
          <w:p w14:paraId="0D670378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43FCDBA6" w14:textId="77777777" w:rsidR="000D13A6" w:rsidRDefault="000D13A6">
            <w:pPr>
              <w:autoSpaceDE/>
              <w:autoSpaceDN/>
              <w:snapToGrid w:val="0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0D13A6" w14:paraId="66529BC0" w14:textId="77777777">
        <w:trPr>
          <w:trHeight w:val="567"/>
          <w:jc w:val="center"/>
        </w:trPr>
        <w:tc>
          <w:tcPr>
            <w:tcW w:w="6374" w:type="dxa"/>
            <w:gridSpan w:val="2"/>
            <w:vAlign w:val="center"/>
          </w:tcPr>
          <w:p w14:paraId="062C7B85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电器起火不应采取下列哪些措施</w:t>
            </w:r>
            <w:r>
              <w:rPr>
                <w:bCs/>
                <w:sz w:val="24"/>
                <w:szCs w:val="24"/>
              </w:rPr>
              <w:t>（   ）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3119" w:type="dxa"/>
            <w:vAlign w:val="center"/>
          </w:tcPr>
          <w:p w14:paraId="738B6458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A、</w:t>
            </w:r>
            <w:r>
              <w:rPr>
                <w:rFonts w:hint="eastAsia"/>
                <w:bCs/>
                <w:sz w:val="24"/>
                <w:szCs w:val="24"/>
              </w:rPr>
              <w:t>用水浇灭</w:t>
            </w:r>
          </w:p>
          <w:p w14:paraId="45958BAA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B、</w:t>
            </w:r>
            <w:r>
              <w:rPr>
                <w:rFonts w:hint="eastAsia"/>
                <w:bCs/>
                <w:sz w:val="24"/>
                <w:szCs w:val="24"/>
              </w:rPr>
              <w:t>泡沫灭火器灭火</w:t>
            </w:r>
          </w:p>
          <w:p w14:paraId="151BD0CD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C、</w:t>
            </w:r>
            <w:r>
              <w:rPr>
                <w:rFonts w:hint="eastAsia"/>
                <w:bCs/>
                <w:sz w:val="24"/>
                <w:szCs w:val="24"/>
              </w:rPr>
              <w:t>迅速断开电源开关</w:t>
            </w:r>
          </w:p>
          <w:p w14:paraId="67260C5B" w14:textId="77777777" w:rsidR="000D13A6" w:rsidRDefault="00130529">
            <w:pPr>
              <w:widowControl/>
              <w:autoSpaceDE/>
              <w:autoSpaceDN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D、</w:t>
            </w:r>
            <w:r>
              <w:rPr>
                <w:rFonts w:hint="eastAsia"/>
                <w:bCs/>
                <w:sz w:val="24"/>
                <w:szCs w:val="24"/>
              </w:rPr>
              <w:t>干粉灭火器灭火</w:t>
            </w:r>
          </w:p>
        </w:tc>
        <w:tc>
          <w:tcPr>
            <w:tcW w:w="1278" w:type="dxa"/>
            <w:gridSpan w:val="2"/>
            <w:vAlign w:val="center"/>
          </w:tcPr>
          <w:p w14:paraId="39B4EEA1" w14:textId="77777777" w:rsidR="000D13A6" w:rsidRDefault="000D13A6">
            <w:pPr>
              <w:autoSpaceDE/>
              <w:autoSpaceDN/>
              <w:snapToGri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  <w:vAlign w:val="center"/>
          </w:tcPr>
          <w:p w14:paraId="6D335BB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color w:val="000000"/>
                <w:szCs w:val="21"/>
                <w:lang w:val="en-US"/>
              </w:rPr>
            </w:pPr>
          </w:p>
        </w:tc>
      </w:tr>
    </w:tbl>
    <w:p w14:paraId="0A2E02F9" w14:textId="77777777" w:rsidR="000D13A6" w:rsidRDefault="000D13A6">
      <w:pPr>
        <w:jc w:val="center"/>
        <w:rPr>
          <w:b/>
          <w:color w:val="000000"/>
          <w:sz w:val="24"/>
          <w:szCs w:val="24"/>
          <w:lang w:val="en-US"/>
        </w:rPr>
      </w:pPr>
    </w:p>
    <w:p w14:paraId="2234C55A" w14:textId="77777777" w:rsidR="000D13A6" w:rsidRDefault="00130529">
      <w:pPr>
        <w:jc w:val="center"/>
        <w:rPr>
          <w:b/>
          <w:color w:val="000000"/>
          <w:sz w:val="24"/>
          <w:szCs w:val="24"/>
          <w:lang w:val="en-US"/>
        </w:rPr>
      </w:pPr>
      <w:r>
        <w:rPr>
          <w:rFonts w:hint="eastAsia"/>
          <w:b/>
          <w:color w:val="000000"/>
          <w:sz w:val="24"/>
          <w:szCs w:val="24"/>
          <w:lang w:val="en-US"/>
        </w:rPr>
        <w:br w:type="page"/>
      </w:r>
      <w:r>
        <w:rPr>
          <w:rFonts w:hint="eastAsia"/>
          <w:b/>
          <w:color w:val="000000"/>
          <w:sz w:val="24"/>
          <w:szCs w:val="24"/>
          <w:lang w:val="en-US"/>
        </w:rPr>
        <w:lastRenderedPageBreak/>
        <w:t>表3</w:t>
      </w:r>
      <w:r>
        <w:rPr>
          <w:b/>
          <w:color w:val="000000"/>
          <w:sz w:val="24"/>
          <w:szCs w:val="24"/>
          <w:lang w:val="en-US"/>
        </w:rPr>
        <w:t>-5</w:t>
      </w:r>
      <w:r>
        <w:rPr>
          <w:rFonts w:hint="eastAsia"/>
          <w:b/>
          <w:color w:val="000000"/>
          <w:sz w:val="24"/>
          <w:szCs w:val="24"/>
          <w:lang w:val="en-US"/>
        </w:rPr>
        <w:t xml:space="preserve"> 是非题</w:t>
      </w:r>
    </w:p>
    <w:p w14:paraId="5D83DEB1" w14:textId="77777777" w:rsidR="000D13A6" w:rsidRDefault="000D13A6">
      <w:pPr>
        <w:pStyle w:val="2"/>
        <w:ind w:left="440"/>
        <w:rPr>
          <w:lang w:val="en-US"/>
        </w:rPr>
      </w:pPr>
    </w:p>
    <w:tbl>
      <w:tblPr>
        <w:tblpPr w:leftFromText="180" w:rightFromText="180" w:vertAnchor="text" w:tblpY="1"/>
        <w:tblOverlap w:val="never"/>
        <w:tblW w:w="12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3131"/>
        <w:gridCol w:w="3065"/>
        <w:gridCol w:w="535"/>
        <w:gridCol w:w="2832"/>
      </w:tblGrid>
      <w:tr w:rsidR="000D13A6" w:rsidRPr="00333BFE" w14:paraId="177D13F4" w14:textId="77777777">
        <w:trPr>
          <w:trHeight w:val="567"/>
        </w:trPr>
        <w:tc>
          <w:tcPr>
            <w:tcW w:w="3266" w:type="dxa"/>
            <w:vAlign w:val="center"/>
          </w:tcPr>
          <w:p w14:paraId="270313B4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赛项名称</w:t>
            </w:r>
          </w:p>
        </w:tc>
        <w:tc>
          <w:tcPr>
            <w:tcW w:w="3131" w:type="dxa"/>
            <w:vAlign w:val="center"/>
          </w:tcPr>
          <w:p w14:paraId="3C17AD58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Cs/>
                <w:color w:val="000000"/>
                <w:sz w:val="24"/>
                <w:szCs w:val="24"/>
                <w:lang w:val="en-US"/>
              </w:rPr>
              <w:t>食品安全与质量检测</w:t>
            </w:r>
          </w:p>
        </w:tc>
        <w:tc>
          <w:tcPr>
            <w:tcW w:w="3065" w:type="dxa"/>
            <w:vAlign w:val="center"/>
          </w:tcPr>
          <w:p w14:paraId="7361D159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英语名称</w:t>
            </w:r>
          </w:p>
        </w:tc>
        <w:tc>
          <w:tcPr>
            <w:tcW w:w="3367" w:type="dxa"/>
            <w:gridSpan w:val="2"/>
            <w:vAlign w:val="center"/>
          </w:tcPr>
          <w:p w14:paraId="0AA92F02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bCs/>
                <w:color w:val="000000"/>
                <w:sz w:val="24"/>
                <w:szCs w:val="24"/>
                <w:lang w:val="en-US"/>
              </w:rPr>
              <w:t>Food Safety and Quality Testing</w:t>
            </w:r>
          </w:p>
        </w:tc>
      </w:tr>
      <w:tr w:rsidR="000D13A6" w14:paraId="0B978937" w14:textId="77777777">
        <w:trPr>
          <w:trHeight w:val="567"/>
        </w:trPr>
        <w:tc>
          <w:tcPr>
            <w:tcW w:w="3266" w:type="dxa"/>
            <w:vAlign w:val="center"/>
          </w:tcPr>
          <w:p w14:paraId="3473424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赛项编号</w:t>
            </w:r>
          </w:p>
        </w:tc>
        <w:tc>
          <w:tcPr>
            <w:tcW w:w="3131" w:type="dxa"/>
            <w:vAlign w:val="center"/>
          </w:tcPr>
          <w:p w14:paraId="44C2279C" w14:textId="20609E99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65" w:type="dxa"/>
            <w:vAlign w:val="center"/>
          </w:tcPr>
          <w:p w14:paraId="67765DA4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归属产业</w:t>
            </w:r>
          </w:p>
        </w:tc>
        <w:tc>
          <w:tcPr>
            <w:tcW w:w="3367" w:type="dxa"/>
            <w:gridSpan w:val="2"/>
            <w:vAlign w:val="center"/>
          </w:tcPr>
          <w:p w14:paraId="42F351D7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color w:val="000000"/>
                <w:sz w:val="24"/>
                <w:szCs w:val="24"/>
                <w:lang w:val="en-US"/>
              </w:rPr>
              <w:t>食</w:t>
            </w:r>
            <w:r>
              <w:rPr>
                <w:rFonts w:eastAsia="仿宋"/>
                <w:color w:val="000000"/>
                <w:sz w:val="24"/>
                <w:szCs w:val="24"/>
                <w:lang w:val="en-US"/>
              </w:rPr>
              <w:t>品产业</w:t>
            </w:r>
          </w:p>
        </w:tc>
      </w:tr>
      <w:tr w:rsidR="000D13A6" w14:paraId="3CBC8DE7" w14:textId="77777777">
        <w:trPr>
          <w:trHeight w:val="567"/>
        </w:trPr>
        <w:tc>
          <w:tcPr>
            <w:tcW w:w="12829" w:type="dxa"/>
            <w:gridSpan w:val="5"/>
            <w:vAlign w:val="center"/>
          </w:tcPr>
          <w:p w14:paraId="4F77A9DE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赛项组别</w:t>
            </w:r>
          </w:p>
        </w:tc>
      </w:tr>
      <w:tr w:rsidR="000D13A6" w14:paraId="530C013A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289CB21C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中职组</w:t>
            </w:r>
          </w:p>
        </w:tc>
        <w:tc>
          <w:tcPr>
            <w:tcW w:w="6432" w:type="dxa"/>
            <w:gridSpan w:val="3"/>
            <w:vAlign w:val="center"/>
          </w:tcPr>
          <w:p w14:paraId="1E6991D3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高职组</w:t>
            </w:r>
          </w:p>
        </w:tc>
      </w:tr>
      <w:tr w:rsidR="000D13A6" w14:paraId="0546C4ED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0E97E30B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□学生组 </w:t>
            </w:r>
            <w:r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□教师组 □师生联队试点赛项</w:t>
            </w:r>
          </w:p>
        </w:tc>
        <w:tc>
          <w:tcPr>
            <w:tcW w:w="6432" w:type="dxa"/>
            <w:gridSpan w:val="3"/>
            <w:vAlign w:val="center"/>
          </w:tcPr>
          <w:p w14:paraId="73EDCFB8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学生组 □教师组 □师生联队试点赛项</w:t>
            </w:r>
          </w:p>
        </w:tc>
      </w:tr>
      <w:tr w:rsidR="000D13A6" w14:paraId="55B3C6CB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06FD6DFA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题目类型</w:t>
            </w:r>
          </w:p>
        </w:tc>
        <w:tc>
          <w:tcPr>
            <w:tcW w:w="6432" w:type="dxa"/>
            <w:gridSpan w:val="3"/>
            <w:vAlign w:val="center"/>
          </w:tcPr>
          <w:p w14:paraId="4370B3F0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单选题 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A3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 xml:space="preserve">多选题  </w:t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sym w:font="Wingdings 2" w:char="0052"/>
            </w: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是非题</w:t>
            </w:r>
          </w:p>
        </w:tc>
      </w:tr>
      <w:tr w:rsidR="000D13A6" w14:paraId="2BF3DE6A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6CDE33F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题目内容</w:t>
            </w:r>
          </w:p>
        </w:tc>
        <w:tc>
          <w:tcPr>
            <w:tcW w:w="3600" w:type="dxa"/>
            <w:gridSpan w:val="2"/>
            <w:vAlign w:val="center"/>
          </w:tcPr>
          <w:p w14:paraId="237C3285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题目答案</w:t>
            </w:r>
          </w:p>
        </w:tc>
        <w:tc>
          <w:tcPr>
            <w:tcW w:w="2832" w:type="dxa"/>
            <w:vAlign w:val="center"/>
          </w:tcPr>
          <w:p w14:paraId="6EAADD2C" w14:textId="77777777" w:rsidR="000D13A6" w:rsidRDefault="00130529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仿宋" w:hint="eastAsia"/>
                <w:b/>
                <w:color w:val="000000"/>
                <w:sz w:val="24"/>
                <w:szCs w:val="24"/>
                <w:lang w:val="en-US"/>
              </w:rPr>
              <w:t>难度系数</w:t>
            </w:r>
          </w:p>
        </w:tc>
      </w:tr>
      <w:tr w:rsidR="000D13A6" w14:paraId="7162F6A3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45A8650B" w14:textId="77777777" w:rsidR="000D13A6" w:rsidRDefault="00130529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食品抽检中，采用非食品安全标准检验方法时，应当遵循技术手段先进的原则。</w:t>
            </w:r>
          </w:p>
        </w:tc>
        <w:tc>
          <w:tcPr>
            <w:tcW w:w="3600" w:type="dxa"/>
            <w:gridSpan w:val="2"/>
            <w:vAlign w:val="center"/>
          </w:tcPr>
          <w:p w14:paraId="68393D59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76F35DD0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711750B2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7C9CB1A3" w14:textId="77777777" w:rsidR="000D13A6" w:rsidRDefault="00130529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检验检测机构的资质认定证书有效期为</w:t>
            </w:r>
            <w:r>
              <w:rPr>
                <w:color w:val="000000"/>
                <w:sz w:val="24"/>
                <w:szCs w:val="24"/>
              </w:rPr>
              <w:t>5年。</w:t>
            </w:r>
          </w:p>
        </w:tc>
        <w:tc>
          <w:tcPr>
            <w:tcW w:w="3600" w:type="dxa"/>
            <w:gridSpan w:val="2"/>
            <w:vAlign w:val="center"/>
          </w:tcPr>
          <w:p w14:paraId="2257C61C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1C57D872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22C3F197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267FC137" w14:textId="77777777" w:rsidR="000D13A6" w:rsidRDefault="00130529">
            <w:pPr>
              <w:autoSpaceDE/>
              <w:autoSpaceDN/>
              <w:snapToGrid w:val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只要是试样中不存在的物质，均可选作内标法中的内标物。</w:t>
            </w:r>
          </w:p>
        </w:tc>
        <w:tc>
          <w:tcPr>
            <w:tcW w:w="3600" w:type="dxa"/>
            <w:gridSpan w:val="2"/>
            <w:vAlign w:val="center"/>
          </w:tcPr>
          <w:p w14:paraId="0E241AE6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1A289AB6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sz w:val="24"/>
                <w:szCs w:val="24"/>
                <w:lang w:val="en-US"/>
              </w:rPr>
            </w:pPr>
          </w:p>
        </w:tc>
      </w:tr>
      <w:tr w:rsidR="000D13A6" w14:paraId="67551B4F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5217ED8B" w14:textId="77777777" w:rsidR="000D13A6" w:rsidRDefault="00130529">
            <w:pPr>
              <w:autoSpaceDE/>
              <w:autoSpaceDN/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国家标准中规定的霉菌直接计数方法，不需要专门的技术培训和相应设备。</w:t>
            </w:r>
          </w:p>
        </w:tc>
        <w:tc>
          <w:tcPr>
            <w:tcW w:w="3600" w:type="dxa"/>
            <w:gridSpan w:val="2"/>
            <w:vAlign w:val="center"/>
          </w:tcPr>
          <w:p w14:paraId="7B00D67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6A30A5CA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06E9FED9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4705993D" w14:textId="77777777" w:rsidR="000D13A6" w:rsidRDefault="00130529">
            <w:pPr>
              <w:autoSpaceDE/>
              <w:autoSpaceDN/>
              <w:snapToGrid w:val="0"/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选择性琼脂平板上符合沙门氏菌特征的菌落，即为沙门氏菌。</w:t>
            </w:r>
          </w:p>
        </w:tc>
        <w:tc>
          <w:tcPr>
            <w:tcW w:w="3600" w:type="dxa"/>
            <w:gridSpan w:val="2"/>
            <w:vAlign w:val="center"/>
          </w:tcPr>
          <w:p w14:paraId="3CD49672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429C72B9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sz w:val="24"/>
                <w:szCs w:val="24"/>
                <w:lang w:val="en-US"/>
              </w:rPr>
            </w:pPr>
          </w:p>
        </w:tc>
      </w:tr>
      <w:tr w:rsidR="000D13A6" w14:paraId="50BFEA5A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59E283ED" w14:textId="77777777" w:rsidR="000D13A6" w:rsidRDefault="00130529">
            <w:pPr>
              <w:autoSpaceDE/>
              <w:autoSpaceDN/>
              <w:snapToGrid w:val="0"/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若所有稀释度的平板上菌落数均大于</w:t>
            </w:r>
            <w:r>
              <w:rPr>
                <w:rFonts w:ascii="宋体" w:hAnsi="宋体"/>
                <w:sz w:val="24"/>
                <w:szCs w:val="24"/>
              </w:rPr>
              <w:t>300CFU</w:t>
            </w:r>
            <w:r>
              <w:rPr>
                <w:rFonts w:ascii="宋体" w:hAnsi="宋体"/>
                <w:sz w:val="24"/>
                <w:szCs w:val="24"/>
              </w:rPr>
              <w:t>，则对稀释度最高的平板进行计数，其它平板可记为多不可计。</w:t>
            </w:r>
          </w:p>
        </w:tc>
        <w:tc>
          <w:tcPr>
            <w:tcW w:w="3600" w:type="dxa"/>
            <w:gridSpan w:val="2"/>
            <w:vAlign w:val="center"/>
          </w:tcPr>
          <w:p w14:paraId="61EC04AB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367C11B4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sz w:val="24"/>
                <w:szCs w:val="24"/>
                <w:lang w:val="en-US"/>
              </w:rPr>
            </w:pPr>
          </w:p>
        </w:tc>
      </w:tr>
      <w:tr w:rsidR="000D13A6" w14:paraId="6A9973FD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6D8E4EDE" w14:textId="77777777" w:rsidR="000D13A6" w:rsidRDefault="00130529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相对分子质量越大，折射率越小。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3600" w:type="dxa"/>
            <w:gridSpan w:val="2"/>
            <w:vAlign w:val="center"/>
          </w:tcPr>
          <w:p w14:paraId="07748221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1BB0D99F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6EEFD778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1C0398D7" w14:textId="77777777" w:rsidR="000D13A6" w:rsidRDefault="00130529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可见分光光度计使用的单色器是石英棱镜。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  <w:gridSpan w:val="2"/>
            <w:vAlign w:val="center"/>
          </w:tcPr>
          <w:p w14:paraId="510B211C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33020112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6BD54D97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0229FED3" w14:textId="77777777" w:rsidR="000D13A6" w:rsidRDefault="00130529">
            <w:pPr>
              <w:autoSpaceDE/>
              <w:autoSpaceDN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紫外</w:t>
            </w:r>
            <w:r>
              <w:rPr>
                <w:rFonts w:hAnsi="宋体"/>
                <w:color w:val="000000"/>
                <w:sz w:val="24"/>
                <w:szCs w:val="24"/>
              </w:rPr>
              <w:t>-可见分光光度计在使用的过程中，为了避免仪器吸潮，不要将样品室中</w:t>
            </w:r>
            <w:r>
              <w:rPr>
                <w:rFonts w:hAnsi="宋体" w:hint="eastAsia"/>
                <w:color w:val="000000"/>
                <w:sz w:val="24"/>
                <w:szCs w:val="24"/>
              </w:rPr>
              <w:t>的干燥包取出。</w:t>
            </w:r>
          </w:p>
        </w:tc>
        <w:tc>
          <w:tcPr>
            <w:tcW w:w="3600" w:type="dxa"/>
            <w:gridSpan w:val="2"/>
            <w:vAlign w:val="center"/>
          </w:tcPr>
          <w:p w14:paraId="20218B3E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41E791E8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D13A6" w14:paraId="1F1528F2" w14:textId="77777777">
        <w:trPr>
          <w:trHeight w:val="567"/>
        </w:trPr>
        <w:tc>
          <w:tcPr>
            <w:tcW w:w="6397" w:type="dxa"/>
            <w:gridSpan w:val="2"/>
            <w:vAlign w:val="center"/>
          </w:tcPr>
          <w:p w14:paraId="710E91AA" w14:textId="77777777" w:rsidR="000D13A6" w:rsidRDefault="00130529">
            <w:pPr>
              <w:autoSpaceDE/>
              <w:autoSpaceDN/>
              <w:snapToGri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Ansi="宋体" w:hint="eastAsia"/>
                <w:sz w:val="24"/>
                <w:szCs w:val="24"/>
              </w:rPr>
              <w:t>在稀释操作中，容量瓶需要用原溶液润洗。</w:t>
            </w:r>
          </w:p>
        </w:tc>
        <w:tc>
          <w:tcPr>
            <w:tcW w:w="3600" w:type="dxa"/>
            <w:gridSpan w:val="2"/>
            <w:vAlign w:val="center"/>
          </w:tcPr>
          <w:p w14:paraId="56F711AE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ascii="仿宋_GB2312" w:eastAsia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2" w:type="dxa"/>
            <w:vAlign w:val="center"/>
          </w:tcPr>
          <w:p w14:paraId="5F6E21D7" w14:textId="77777777" w:rsidR="000D13A6" w:rsidRDefault="000D13A6">
            <w:pPr>
              <w:pStyle w:val="2"/>
              <w:adjustRightInd w:val="0"/>
              <w:snapToGrid w:val="0"/>
              <w:spacing w:after="0"/>
              <w:ind w:leftChars="0" w:left="0" w:firstLineChars="0" w:firstLine="0"/>
              <w:jc w:val="center"/>
              <w:rPr>
                <w:rFonts w:eastAsia="仿宋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D09EB7" w14:textId="77777777" w:rsidR="000D13A6" w:rsidRDefault="000D13A6"/>
    <w:sectPr w:rsidR="000D13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5YTk2NWU3OTRhNTU0YjZlNWE0ODExMjY4YzM0MTgifQ=="/>
  </w:docVars>
  <w:rsids>
    <w:rsidRoot w:val="009B7DE5"/>
    <w:rsid w:val="000029BF"/>
    <w:rsid w:val="00051D04"/>
    <w:rsid w:val="000577A4"/>
    <w:rsid w:val="000705C9"/>
    <w:rsid w:val="000719E9"/>
    <w:rsid w:val="000A17D2"/>
    <w:rsid w:val="000B4DA1"/>
    <w:rsid w:val="000C3CBF"/>
    <w:rsid w:val="000D13A6"/>
    <w:rsid w:val="0010188E"/>
    <w:rsid w:val="00127514"/>
    <w:rsid w:val="00130529"/>
    <w:rsid w:val="00132330"/>
    <w:rsid w:val="00133A44"/>
    <w:rsid w:val="00155066"/>
    <w:rsid w:val="001B4C8E"/>
    <w:rsid w:val="001B5251"/>
    <w:rsid w:val="001E4AF3"/>
    <w:rsid w:val="0024588F"/>
    <w:rsid w:val="00252FA7"/>
    <w:rsid w:val="0029450B"/>
    <w:rsid w:val="00297469"/>
    <w:rsid w:val="002A0A4B"/>
    <w:rsid w:val="002E42FD"/>
    <w:rsid w:val="002F39D7"/>
    <w:rsid w:val="00307D64"/>
    <w:rsid w:val="00333BFE"/>
    <w:rsid w:val="00336FA4"/>
    <w:rsid w:val="003428CD"/>
    <w:rsid w:val="003C0451"/>
    <w:rsid w:val="003D365B"/>
    <w:rsid w:val="003F76FE"/>
    <w:rsid w:val="00433361"/>
    <w:rsid w:val="00441BC0"/>
    <w:rsid w:val="00451359"/>
    <w:rsid w:val="004544BC"/>
    <w:rsid w:val="004967B1"/>
    <w:rsid w:val="004A0525"/>
    <w:rsid w:val="004A6FC3"/>
    <w:rsid w:val="004E484B"/>
    <w:rsid w:val="004E4CA8"/>
    <w:rsid w:val="005070CC"/>
    <w:rsid w:val="00514044"/>
    <w:rsid w:val="00534C2E"/>
    <w:rsid w:val="00553C1E"/>
    <w:rsid w:val="00563E30"/>
    <w:rsid w:val="00574B16"/>
    <w:rsid w:val="005846B0"/>
    <w:rsid w:val="005A383F"/>
    <w:rsid w:val="005A5D39"/>
    <w:rsid w:val="005B4C55"/>
    <w:rsid w:val="005D2F9C"/>
    <w:rsid w:val="00610E88"/>
    <w:rsid w:val="0061749B"/>
    <w:rsid w:val="00643131"/>
    <w:rsid w:val="006812F6"/>
    <w:rsid w:val="0068436C"/>
    <w:rsid w:val="006A6EDF"/>
    <w:rsid w:val="006B5DBA"/>
    <w:rsid w:val="006B5E21"/>
    <w:rsid w:val="006F4E65"/>
    <w:rsid w:val="0070243E"/>
    <w:rsid w:val="007251CD"/>
    <w:rsid w:val="0072664C"/>
    <w:rsid w:val="007303B8"/>
    <w:rsid w:val="00750D55"/>
    <w:rsid w:val="00750F14"/>
    <w:rsid w:val="007A1B1B"/>
    <w:rsid w:val="007F4A9F"/>
    <w:rsid w:val="00811D8C"/>
    <w:rsid w:val="008128FE"/>
    <w:rsid w:val="00830366"/>
    <w:rsid w:val="008466F4"/>
    <w:rsid w:val="00856B42"/>
    <w:rsid w:val="00873F81"/>
    <w:rsid w:val="0088129C"/>
    <w:rsid w:val="008A173E"/>
    <w:rsid w:val="008C6738"/>
    <w:rsid w:val="008E58CF"/>
    <w:rsid w:val="009038F3"/>
    <w:rsid w:val="00911763"/>
    <w:rsid w:val="00943951"/>
    <w:rsid w:val="00947884"/>
    <w:rsid w:val="009878EE"/>
    <w:rsid w:val="009A7F1C"/>
    <w:rsid w:val="009B01B7"/>
    <w:rsid w:val="009B7DE5"/>
    <w:rsid w:val="009C1515"/>
    <w:rsid w:val="009C6E56"/>
    <w:rsid w:val="009E7BF5"/>
    <w:rsid w:val="009F35AA"/>
    <w:rsid w:val="00A035FD"/>
    <w:rsid w:val="00A31D4F"/>
    <w:rsid w:val="00A34DD4"/>
    <w:rsid w:val="00A53A4B"/>
    <w:rsid w:val="00A61DA7"/>
    <w:rsid w:val="00A65CAE"/>
    <w:rsid w:val="00A8202A"/>
    <w:rsid w:val="00A94C52"/>
    <w:rsid w:val="00AA6583"/>
    <w:rsid w:val="00AB3F26"/>
    <w:rsid w:val="00AB5B0C"/>
    <w:rsid w:val="00AC6A91"/>
    <w:rsid w:val="00AE27E6"/>
    <w:rsid w:val="00B02647"/>
    <w:rsid w:val="00B20611"/>
    <w:rsid w:val="00B27CC4"/>
    <w:rsid w:val="00B65C1D"/>
    <w:rsid w:val="00B81D49"/>
    <w:rsid w:val="00BA169D"/>
    <w:rsid w:val="00BD5EA7"/>
    <w:rsid w:val="00BD7463"/>
    <w:rsid w:val="00BF7A64"/>
    <w:rsid w:val="00C141C1"/>
    <w:rsid w:val="00C15601"/>
    <w:rsid w:val="00C441C0"/>
    <w:rsid w:val="00C9718A"/>
    <w:rsid w:val="00CA7DAC"/>
    <w:rsid w:val="00CB2854"/>
    <w:rsid w:val="00CC6958"/>
    <w:rsid w:val="00CD0C54"/>
    <w:rsid w:val="00CE431F"/>
    <w:rsid w:val="00D13F9A"/>
    <w:rsid w:val="00D150D5"/>
    <w:rsid w:val="00D21FD3"/>
    <w:rsid w:val="00D41980"/>
    <w:rsid w:val="00D60DEB"/>
    <w:rsid w:val="00D76F49"/>
    <w:rsid w:val="00D94168"/>
    <w:rsid w:val="00DA1F47"/>
    <w:rsid w:val="00DD1C5F"/>
    <w:rsid w:val="00DF48EA"/>
    <w:rsid w:val="00E02C0C"/>
    <w:rsid w:val="00E228AC"/>
    <w:rsid w:val="00E3691D"/>
    <w:rsid w:val="00E94FB3"/>
    <w:rsid w:val="00E96ED8"/>
    <w:rsid w:val="00EB1661"/>
    <w:rsid w:val="00EC1CA0"/>
    <w:rsid w:val="00EF09D2"/>
    <w:rsid w:val="00F133AD"/>
    <w:rsid w:val="00F30D9B"/>
    <w:rsid w:val="00F435C7"/>
    <w:rsid w:val="00FC140E"/>
    <w:rsid w:val="00FC4BFE"/>
    <w:rsid w:val="00FE24B9"/>
    <w:rsid w:val="00FE6EFD"/>
    <w:rsid w:val="0B647CE9"/>
    <w:rsid w:val="6324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CCD4E"/>
  <w15:docId w15:val="{FBD81105-7141-4543-BDF4-77163B76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link w:val="10"/>
    <w:qFormat/>
    <w:pPr>
      <w:widowControl/>
      <w:autoSpaceDE/>
      <w:autoSpaceDN/>
      <w:spacing w:before="120" w:after="120"/>
      <w:outlineLvl w:val="0"/>
    </w:pPr>
    <w:rPr>
      <w:rFonts w:ascii="宋体" w:eastAsia="宋体" w:hAnsi="宋体" w:cs="宋体"/>
      <w:sz w:val="24"/>
      <w:szCs w:val="24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link w:val="a4"/>
    <w:uiPriority w:val="99"/>
    <w:semiHidden/>
    <w:unhideWhenUsed/>
    <w:qFormat/>
    <w:pPr>
      <w:spacing w:after="120"/>
      <w:ind w:leftChars="200" w:left="4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autoSpaceDE/>
      <w:autoSpaceDN/>
      <w:spacing w:before="120" w:after="120"/>
      <w:jc w:val="both"/>
    </w:pPr>
    <w:rPr>
      <w:rFonts w:ascii="宋体" w:eastAsia="宋体" w:hAnsi="宋体" w:cs="宋体"/>
      <w:color w:val="000000"/>
      <w:kern w:val="2"/>
      <w:sz w:val="24"/>
      <w:szCs w:val="24"/>
      <w:lang w:val="en-US" w:bidi="ar-SA"/>
    </w:rPr>
  </w:style>
  <w:style w:type="character" w:customStyle="1" w:styleId="a4">
    <w:name w:val="正文文本缩进 字符"/>
    <w:basedOn w:val="a0"/>
    <w:link w:val="a3"/>
    <w:uiPriority w:val="99"/>
    <w:semiHidden/>
    <w:qFormat/>
    <w:rPr>
      <w:rFonts w:ascii="仿宋" w:eastAsia="仿宋" w:hAnsi="仿宋" w:cs="仿宋"/>
      <w:kern w:val="0"/>
      <w:sz w:val="22"/>
      <w:lang w:val="zh-CN" w:bidi="zh-CN"/>
      <w14:ligatures w14:val="none"/>
    </w:rPr>
  </w:style>
  <w:style w:type="character" w:customStyle="1" w:styleId="20">
    <w:name w:val="正文文本首行缩进 2 字符"/>
    <w:basedOn w:val="a4"/>
    <w:link w:val="2"/>
    <w:uiPriority w:val="99"/>
    <w:qFormat/>
    <w:rPr>
      <w:rFonts w:ascii="仿宋" w:eastAsia="宋体" w:hAnsi="仿宋" w:cs="仿宋"/>
      <w:kern w:val="0"/>
      <w:sz w:val="22"/>
      <w:lang w:val="zh-CN" w:bidi="zh-CN"/>
      <w14:ligatures w14:val="none"/>
    </w:rPr>
  </w:style>
  <w:style w:type="character" w:customStyle="1" w:styleId="10">
    <w:name w:val="标题 1 字符"/>
    <w:basedOn w:val="a0"/>
    <w:link w:val="1"/>
    <w:qFormat/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a8">
    <w:name w:val="页眉 字符"/>
    <w:basedOn w:val="a0"/>
    <w:link w:val="a7"/>
    <w:qFormat/>
    <w:rPr>
      <w:rFonts w:ascii="仿宋" w:eastAsia="仿宋" w:hAnsi="仿宋" w:cs="仿宋"/>
      <w:kern w:val="0"/>
      <w:sz w:val="18"/>
      <w:szCs w:val="18"/>
      <w:lang w:val="zh-CN" w:bidi="zh-CN"/>
      <w14:ligatures w14:val="none"/>
    </w:rPr>
  </w:style>
  <w:style w:type="character" w:customStyle="1" w:styleId="a6">
    <w:name w:val="页脚 字符"/>
    <w:basedOn w:val="a0"/>
    <w:link w:val="a5"/>
    <w:uiPriority w:val="99"/>
    <w:qFormat/>
    <w:rPr>
      <w:rFonts w:ascii="仿宋" w:eastAsia="仿宋" w:hAnsi="仿宋" w:cs="仿宋"/>
      <w:kern w:val="0"/>
      <w:sz w:val="18"/>
      <w:szCs w:val="18"/>
      <w:lang w:val="zh-CN" w:bidi="zh-CN"/>
      <w14:ligatures w14:val="none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rPr>
      <w:rFonts w:ascii="Times New Roman" w:hAnsi="Times New Roman" w:cs="Times New Roman" w:hint="default"/>
      <w:b/>
    </w:rPr>
  </w:style>
  <w:style w:type="paragraph" w:customStyle="1" w:styleId="mrt20">
    <w:name w:val="mrt20"/>
    <w:basedOn w:val="a"/>
    <w:qFormat/>
    <w:pPr>
      <w:autoSpaceDE/>
      <w:autoSpaceDN/>
      <w:spacing w:before="240"/>
    </w:pPr>
    <w:rPr>
      <w:rFonts w:ascii="宋体" w:eastAsia="宋体" w:hAnsi="宋体" w:cs="Times New Roman" w:hint="eastAsia"/>
      <w:sz w:val="24"/>
      <w:szCs w:val="24"/>
      <w:lang w:val="en-US" w:bidi="ar-SA"/>
    </w:rPr>
  </w:style>
  <w:style w:type="paragraph" w:styleId="aa">
    <w:name w:val="List Paragraph"/>
    <w:basedOn w:val="a"/>
    <w:uiPriority w:val="34"/>
    <w:qFormat/>
    <w:pPr>
      <w:autoSpaceDE/>
      <w:autoSpaceDN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54CE6-D7E9-4957-8341-92F3A739A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662</Words>
  <Characters>3776</Characters>
  <Application>Microsoft Office Word</Application>
  <DocSecurity>0</DocSecurity>
  <Lines>31</Lines>
  <Paragraphs>8</Paragraphs>
  <ScaleCrop>false</ScaleCrop>
  <Company>微软公司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45600134@qq.com</dc:creator>
  <cp:lastModifiedBy>huiping hu</cp:lastModifiedBy>
  <cp:revision>110</cp:revision>
  <dcterms:created xsi:type="dcterms:W3CDTF">2023-04-05T10:44:00Z</dcterms:created>
  <dcterms:modified xsi:type="dcterms:W3CDTF">2023-12-08T07:52:00Z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9BB91ED56D0941EEB7A3B733AB68F405_12</vt:lpwstr>
  </property>
</Properties>
</file>